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26" w:rsidRPr="0003433F" w:rsidRDefault="00285AEF" w:rsidP="00285AEF">
      <w:pPr>
        <w:pStyle w:val="21"/>
        <w:spacing w:line="276" w:lineRule="auto"/>
        <w:jc w:val="center"/>
        <w:rPr>
          <w:b/>
          <w:sz w:val="32"/>
          <w:szCs w:val="32"/>
        </w:rPr>
      </w:pPr>
      <w:r w:rsidRPr="0003433F">
        <w:rPr>
          <w:b/>
          <w:sz w:val="32"/>
          <w:szCs w:val="32"/>
        </w:rPr>
        <w:t xml:space="preserve">Надання послуг </w:t>
      </w:r>
      <w:r w:rsidR="007F7526" w:rsidRPr="0003433F">
        <w:rPr>
          <w:b/>
          <w:sz w:val="32"/>
          <w:szCs w:val="32"/>
        </w:rPr>
        <w:t xml:space="preserve">Донецькою обласною службою зайнятості </w:t>
      </w:r>
    </w:p>
    <w:p w:rsidR="00285AEF" w:rsidRPr="0003433F" w:rsidRDefault="00285AEF" w:rsidP="00285AEF">
      <w:pPr>
        <w:pStyle w:val="21"/>
        <w:spacing w:line="276" w:lineRule="auto"/>
        <w:jc w:val="center"/>
        <w:rPr>
          <w:b/>
          <w:szCs w:val="28"/>
        </w:rPr>
      </w:pPr>
      <w:r w:rsidRPr="0003433F">
        <w:rPr>
          <w:b/>
          <w:sz w:val="32"/>
          <w:szCs w:val="32"/>
        </w:rPr>
        <w:t>особам з числа молоді</w:t>
      </w:r>
      <w:r w:rsidRPr="0003433F">
        <w:rPr>
          <w:b/>
          <w:szCs w:val="28"/>
        </w:rPr>
        <w:t xml:space="preserve">  </w:t>
      </w:r>
    </w:p>
    <w:p w:rsidR="00285AEF" w:rsidRPr="0048317A" w:rsidRDefault="00285AEF" w:rsidP="00285AEF">
      <w:pPr>
        <w:pStyle w:val="a5"/>
        <w:spacing w:before="240" w:line="336" w:lineRule="auto"/>
        <w:ind w:firstLine="709"/>
        <w:contextualSpacing/>
        <w:jc w:val="both"/>
        <w:rPr>
          <w:sz w:val="28"/>
          <w:szCs w:val="28"/>
          <w:lang w:val="uk-UA" w:eastAsia="uk-UA"/>
        </w:rPr>
      </w:pPr>
      <w:r w:rsidRPr="0048317A">
        <w:rPr>
          <w:sz w:val="28"/>
          <w:szCs w:val="28"/>
          <w:lang w:val="uk-UA"/>
        </w:rPr>
        <w:t xml:space="preserve">Протягом </w:t>
      </w:r>
      <w:r w:rsidR="00145F3E" w:rsidRPr="0048317A">
        <w:rPr>
          <w:sz w:val="28"/>
          <w:szCs w:val="28"/>
          <w:lang w:val="uk-UA"/>
        </w:rPr>
        <w:t xml:space="preserve"> </w:t>
      </w:r>
      <w:r w:rsidR="005E6034" w:rsidRPr="0048317A">
        <w:rPr>
          <w:sz w:val="28"/>
          <w:szCs w:val="28"/>
          <w:lang w:val="uk-UA"/>
        </w:rPr>
        <w:t>січня</w:t>
      </w:r>
      <w:r w:rsidR="00B5288D" w:rsidRPr="0048317A">
        <w:rPr>
          <w:sz w:val="28"/>
          <w:szCs w:val="28"/>
          <w:lang w:val="uk-UA"/>
        </w:rPr>
        <w:t>-</w:t>
      </w:r>
      <w:r w:rsidR="00BC7F0C" w:rsidRPr="0048317A">
        <w:rPr>
          <w:sz w:val="28"/>
          <w:szCs w:val="28"/>
          <w:lang w:val="uk-UA"/>
        </w:rPr>
        <w:t>грудня</w:t>
      </w:r>
      <w:r w:rsidR="006650C2" w:rsidRPr="0048317A">
        <w:rPr>
          <w:sz w:val="28"/>
          <w:szCs w:val="28"/>
          <w:lang w:val="uk-UA"/>
        </w:rPr>
        <w:t xml:space="preserve"> </w:t>
      </w:r>
      <w:r w:rsidR="005E6034" w:rsidRPr="0048317A">
        <w:rPr>
          <w:sz w:val="28"/>
          <w:szCs w:val="28"/>
          <w:lang w:val="uk-UA"/>
        </w:rPr>
        <w:t xml:space="preserve"> </w:t>
      </w:r>
      <w:r w:rsidR="00924AE2" w:rsidRPr="0048317A">
        <w:rPr>
          <w:sz w:val="28"/>
          <w:szCs w:val="28"/>
          <w:lang w:val="uk-UA"/>
        </w:rPr>
        <w:t>20</w:t>
      </w:r>
      <w:r w:rsidR="005E6034" w:rsidRPr="0048317A">
        <w:rPr>
          <w:sz w:val="28"/>
          <w:szCs w:val="28"/>
          <w:lang w:val="uk-UA"/>
        </w:rPr>
        <w:t>20</w:t>
      </w:r>
      <w:r w:rsidR="00960803" w:rsidRPr="0048317A">
        <w:rPr>
          <w:sz w:val="28"/>
          <w:szCs w:val="28"/>
          <w:lang w:val="uk-UA"/>
        </w:rPr>
        <w:t xml:space="preserve"> </w:t>
      </w:r>
      <w:r w:rsidRPr="0048317A">
        <w:rPr>
          <w:sz w:val="28"/>
          <w:szCs w:val="28"/>
          <w:lang w:val="uk-UA"/>
        </w:rPr>
        <w:t xml:space="preserve">року статус безробітного мали </w:t>
      </w:r>
      <w:r w:rsidR="00BC7F0C" w:rsidRPr="0048317A">
        <w:rPr>
          <w:sz w:val="28"/>
          <w:szCs w:val="28"/>
          <w:lang w:val="uk-UA"/>
        </w:rPr>
        <w:t>16,8</w:t>
      </w:r>
      <w:r w:rsidR="00924AE2" w:rsidRPr="0048317A">
        <w:rPr>
          <w:sz w:val="28"/>
          <w:szCs w:val="28"/>
          <w:lang w:val="uk-UA"/>
        </w:rPr>
        <w:t xml:space="preserve"> </w:t>
      </w:r>
      <w:r w:rsidRPr="0048317A">
        <w:rPr>
          <w:sz w:val="28"/>
          <w:szCs w:val="28"/>
          <w:lang w:val="uk-UA"/>
        </w:rPr>
        <w:t>тис. осіб з числа молоді (</w:t>
      </w:r>
      <w:r w:rsidR="001152A8" w:rsidRPr="0048317A">
        <w:rPr>
          <w:sz w:val="28"/>
          <w:szCs w:val="28"/>
          <w:lang w:val="uk-UA"/>
        </w:rPr>
        <w:t>3</w:t>
      </w:r>
      <w:r w:rsidR="00BC7F0C" w:rsidRPr="0048317A">
        <w:rPr>
          <w:sz w:val="28"/>
          <w:szCs w:val="28"/>
          <w:lang w:val="uk-UA"/>
        </w:rPr>
        <w:t>3,9</w:t>
      </w:r>
      <w:r w:rsidR="00827CEA" w:rsidRPr="0048317A">
        <w:rPr>
          <w:sz w:val="28"/>
          <w:szCs w:val="28"/>
          <w:lang w:val="uk-UA"/>
        </w:rPr>
        <w:t>%</w:t>
      </w:r>
      <w:r w:rsidRPr="0048317A">
        <w:rPr>
          <w:sz w:val="28"/>
          <w:szCs w:val="28"/>
          <w:lang w:val="uk-UA"/>
        </w:rPr>
        <w:t xml:space="preserve"> загальної кількості безробітних), до</w:t>
      </w:r>
      <w:r w:rsidR="00CC558F" w:rsidRPr="0048317A">
        <w:rPr>
          <w:sz w:val="28"/>
          <w:szCs w:val="28"/>
          <w:lang w:val="uk-UA"/>
        </w:rPr>
        <w:t>помогу по безробіттю отримували</w:t>
      </w:r>
      <w:r w:rsidRPr="0048317A">
        <w:rPr>
          <w:sz w:val="28"/>
          <w:szCs w:val="28"/>
          <w:lang w:val="uk-UA"/>
        </w:rPr>
        <w:t xml:space="preserve"> </w:t>
      </w:r>
      <w:r w:rsidR="00BC7F0C" w:rsidRPr="0048317A">
        <w:rPr>
          <w:sz w:val="28"/>
          <w:szCs w:val="28"/>
          <w:lang w:val="uk-UA"/>
        </w:rPr>
        <w:t>14,2</w:t>
      </w:r>
      <w:r w:rsidR="00097553" w:rsidRPr="0048317A">
        <w:rPr>
          <w:sz w:val="28"/>
          <w:szCs w:val="28"/>
          <w:lang w:val="uk-UA"/>
        </w:rPr>
        <w:t xml:space="preserve"> </w:t>
      </w:r>
      <w:r w:rsidRPr="0048317A">
        <w:rPr>
          <w:sz w:val="28"/>
          <w:szCs w:val="28"/>
          <w:lang w:val="uk-UA"/>
        </w:rPr>
        <w:t xml:space="preserve">тис. молодих осіб. </w:t>
      </w:r>
    </w:p>
    <w:p w:rsidR="00285AEF" w:rsidRPr="0048317A" w:rsidRDefault="00285AEF" w:rsidP="00285AEF">
      <w:pPr>
        <w:spacing w:line="33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48317A">
        <w:rPr>
          <w:sz w:val="28"/>
          <w:szCs w:val="28"/>
          <w:lang w:val="uk-UA"/>
        </w:rPr>
        <w:t>Серед</w:t>
      </w:r>
      <w:r w:rsidR="00A84DA7" w:rsidRPr="0048317A">
        <w:rPr>
          <w:sz w:val="28"/>
          <w:szCs w:val="28"/>
          <w:lang w:val="uk-UA"/>
        </w:rPr>
        <w:t xml:space="preserve"> безробітних у віці до 35</w:t>
      </w:r>
      <w:r w:rsidR="00CC04A5" w:rsidRPr="0048317A">
        <w:rPr>
          <w:sz w:val="28"/>
          <w:szCs w:val="28"/>
          <w:lang w:val="uk-UA"/>
        </w:rPr>
        <w:t xml:space="preserve"> років,</w:t>
      </w:r>
      <w:r w:rsidR="00A84DA7" w:rsidRPr="0048317A">
        <w:rPr>
          <w:sz w:val="28"/>
          <w:szCs w:val="28"/>
          <w:lang w:val="uk-UA"/>
        </w:rPr>
        <w:t xml:space="preserve"> </w:t>
      </w:r>
      <w:r w:rsidR="00C548C7" w:rsidRPr="0048317A">
        <w:rPr>
          <w:sz w:val="28"/>
          <w:szCs w:val="28"/>
        </w:rPr>
        <w:t>83</w:t>
      </w:r>
      <w:r w:rsidR="00C548C7" w:rsidRPr="0048317A">
        <w:rPr>
          <w:sz w:val="28"/>
          <w:szCs w:val="28"/>
          <w:lang w:val="uk-UA"/>
        </w:rPr>
        <w:t>,3</w:t>
      </w:r>
      <w:r w:rsidR="004329D9" w:rsidRPr="0048317A">
        <w:rPr>
          <w:sz w:val="28"/>
          <w:szCs w:val="28"/>
          <w:lang w:val="uk-UA"/>
        </w:rPr>
        <w:t>%</w:t>
      </w:r>
      <w:r w:rsidRPr="0048317A">
        <w:rPr>
          <w:sz w:val="28"/>
          <w:szCs w:val="28"/>
          <w:lang w:val="uk-UA"/>
        </w:rPr>
        <w:t xml:space="preserve"> до реєстрації у службі зайнятості мал</w:t>
      </w:r>
      <w:r w:rsidR="0082415C" w:rsidRPr="0048317A">
        <w:rPr>
          <w:sz w:val="28"/>
          <w:szCs w:val="28"/>
          <w:lang w:val="uk-UA"/>
        </w:rPr>
        <w:t xml:space="preserve">и професійний досвід. З них </w:t>
      </w:r>
      <w:r w:rsidR="00C548C7" w:rsidRPr="0048317A">
        <w:rPr>
          <w:sz w:val="28"/>
          <w:szCs w:val="28"/>
          <w:lang w:val="uk-UA"/>
        </w:rPr>
        <w:t>20,1</w:t>
      </w:r>
      <w:r w:rsidR="001B43FB" w:rsidRPr="0048317A">
        <w:rPr>
          <w:sz w:val="28"/>
          <w:szCs w:val="28"/>
          <w:lang w:val="uk-UA"/>
        </w:rPr>
        <w:t xml:space="preserve">% </w:t>
      </w:r>
      <w:r w:rsidRPr="0048317A">
        <w:rPr>
          <w:sz w:val="28"/>
          <w:szCs w:val="28"/>
          <w:lang w:val="uk-UA"/>
        </w:rPr>
        <w:t xml:space="preserve">раніше працювали у </w:t>
      </w:r>
      <w:r w:rsidR="00AC6A41" w:rsidRPr="0048317A">
        <w:rPr>
          <w:sz w:val="28"/>
          <w:szCs w:val="28"/>
          <w:lang w:val="uk-UA"/>
        </w:rPr>
        <w:t xml:space="preserve">торгівлі та ремонті; </w:t>
      </w:r>
      <w:r w:rsidR="00C548C7" w:rsidRPr="0048317A">
        <w:rPr>
          <w:sz w:val="28"/>
          <w:szCs w:val="28"/>
          <w:lang w:val="uk-UA"/>
        </w:rPr>
        <w:t>18,6</w:t>
      </w:r>
      <w:r w:rsidR="00B56FF1" w:rsidRPr="0048317A">
        <w:rPr>
          <w:sz w:val="28"/>
          <w:szCs w:val="28"/>
          <w:lang w:val="uk-UA"/>
        </w:rPr>
        <w:t>% –</w:t>
      </w:r>
      <w:r w:rsidR="00AC6A41" w:rsidRPr="0048317A">
        <w:rPr>
          <w:sz w:val="28"/>
          <w:szCs w:val="28"/>
          <w:lang w:val="uk-UA"/>
        </w:rPr>
        <w:t xml:space="preserve"> </w:t>
      </w:r>
      <w:r w:rsidR="00382F1F" w:rsidRPr="0048317A">
        <w:rPr>
          <w:sz w:val="28"/>
          <w:szCs w:val="28"/>
          <w:lang w:val="uk-UA"/>
        </w:rPr>
        <w:t xml:space="preserve">у </w:t>
      </w:r>
      <w:r w:rsidR="00AC6A41" w:rsidRPr="0048317A">
        <w:rPr>
          <w:sz w:val="28"/>
          <w:szCs w:val="28"/>
          <w:lang w:val="uk-UA"/>
        </w:rPr>
        <w:t xml:space="preserve">переробній промисловості; </w:t>
      </w:r>
      <w:r w:rsidR="00C548C7" w:rsidRPr="0048317A">
        <w:rPr>
          <w:sz w:val="28"/>
          <w:szCs w:val="28"/>
          <w:lang w:val="uk-UA"/>
        </w:rPr>
        <w:t>17</w:t>
      </w:r>
      <w:r w:rsidR="00AC6A41" w:rsidRPr="0048317A">
        <w:rPr>
          <w:sz w:val="28"/>
          <w:szCs w:val="28"/>
          <w:lang w:val="uk-UA"/>
        </w:rPr>
        <w:t xml:space="preserve">% – у </w:t>
      </w:r>
      <w:r w:rsidR="00382F1F" w:rsidRPr="0048317A">
        <w:rPr>
          <w:sz w:val="28"/>
          <w:szCs w:val="28"/>
          <w:lang w:val="uk-UA"/>
        </w:rPr>
        <w:t xml:space="preserve">сфері державного управління й оборони; </w:t>
      </w:r>
      <w:r w:rsidR="00C548C7" w:rsidRPr="0048317A">
        <w:rPr>
          <w:sz w:val="28"/>
          <w:szCs w:val="28"/>
          <w:lang w:val="uk-UA"/>
        </w:rPr>
        <w:t>8,7</w:t>
      </w:r>
      <w:r w:rsidR="00C35564" w:rsidRPr="0048317A">
        <w:rPr>
          <w:sz w:val="28"/>
          <w:szCs w:val="28"/>
          <w:lang w:val="uk-UA"/>
        </w:rPr>
        <w:t xml:space="preserve">% – у сільському, лісовому та рибному господарстві; </w:t>
      </w:r>
      <w:r w:rsidR="00201F60" w:rsidRPr="0048317A">
        <w:rPr>
          <w:sz w:val="28"/>
          <w:szCs w:val="28"/>
        </w:rPr>
        <w:t>4</w:t>
      </w:r>
      <w:r w:rsidR="00201F60" w:rsidRPr="0048317A">
        <w:rPr>
          <w:sz w:val="28"/>
          <w:szCs w:val="28"/>
          <w:lang w:val="uk-UA"/>
        </w:rPr>
        <w:t>,</w:t>
      </w:r>
      <w:r w:rsidR="00C548C7" w:rsidRPr="0048317A">
        <w:rPr>
          <w:sz w:val="28"/>
          <w:szCs w:val="28"/>
          <w:lang w:val="uk-UA"/>
        </w:rPr>
        <w:t>4</w:t>
      </w:r>
      <w:r w:rsidRPr="0048317A">
        <w:rPr>
          <w:sz w:val="28"/>
          <w:szCs w:val="28"/>
          <w:lang w:val="uk-UA"/>
        </w:rPr>
        <w:t xml:space="preserve">% – </w:t>
      </w:r>
      <w:r w:rsidR="0097081C" w:rsidRPr="0048317A">
        <w:rPr>
          <w:sz w:val="28"/>
          <w:szCs w:val="28"/>
          <w:lang w:val="uk-UA"/>
        </w:rPr>
        <w:t>у</w:t>
      </w:r>
      <w:r w:rsidR="00D0213E" w:rsidRPr="0048317A">
        <w:rPr>
          <w:sz w:val="28"/>
          <w:szCs w:val="28"/>
          <w:lang w:val="uk-UA"/>
        </w:rPr>
        <w:t xml:space="preserve"> сфері</w:t>
      </w:r>
      <w:r w:rsidR="0097081C" w:rsidRPr="0048317A">
        <w:rPr>
          <w:sz w:val="28"/>
          <w:szCs w:val="28"/>
          <w:lang w:val="uk-UA"/>
        </w:rPr>
        <w:t xml:space="preserve"> </w:t>
      </w:r>
      <w:r w:rsidR="00223A22" w:rsidRPr="0048317A">
        <w:rPr>
          <w:sz w:val="28"/>
          <w:szCs w:val="28"/>
          <w:lang w:val="uk-UA"/>
        </w:rPr>
        <w:t xml:space="preserve">транспорту та </w:t>
      </w:r>
      <w:r w:rsidR="008A0128" w:rsidRPr="0048317A">
        <w:rPr>
          <w:sz w:val="28"/>
          <w:szCs w:val="28"/>
        </w:rPr>
        <w:t>4</w:t>
      </w:r>
      <w:r w:rsidR="008A0128" w:rsidRPr="0048317A">
        <w:rPr>
          <w:sz w:val="28"/>
          <w:szCs w:val="28"/>
          <w:lang w:val="uk-UA"/>
        </w:rPr>
        <w:t>,</w:t>
      </w:r>
      <w:r w:rsidR="00C548C7" w:rsidRPr="0048317A">
        <w:rPr>
          <w:sz w:val="28"/>
          <w:szCs w:val="28"/>
          <w:lang w:val="uk-UA"/>
        </w:rPr>
        <w:t>1</w:t>
      </w:r>
      <w:r w:rsidR="008A0128" w:rsidRPr="0048317A">
        <w:rPr>
          <w:sz w:val="28"/>
          <w:szCs w:val="28"/>
          <w:lang w:val="uk-UA"/>
        </w:rPr>
        <w:t xml:space="preserve">% – в </w:t>
      </w:r>
      <w:r w:rsidR="00223A22" w:rsidRPr="0048317A">
        <w:rPr>
          <w:sz w:val="28"/>
          <w:szCs w:val="28"/>
          <w:lang w:val="uk-UA"/>
        </w:rPr>
        <w:t>охорон</w:t>
      </w:r>
      <w:r w:rsidR="008A0128" w:rsidRPr="0048317A">
        <w:rPr>
          <w:sz w:val="28"/>
          <w:szCs w:val="28"/>
          <w:lang w:val="uk-UA"/>
        </w:rPr>
        <w:t>і</w:t>
      </w:r>
      <w:r w:rsidR="00223A22" w:rsidRPr="0048317A">
        <w:rPr>
          <w:sz w:val="28"/>
          <w:szCs w:val="28"/>
          <w:lang w:val="uk-UA"/>
        </w:rPr>
        <w:t xml:space="preserve"> здоров’я</w:t>
      </w:r>
      <w:r w:rsidRPr="0048317A">
        <w:rPr>
          <w:sz w:val="28"/>
          <w:szCs w:val="28"/>
          <w:lang w:val="uk-UA"/>
        </w:rPr>
        <w:t xml:space="preserve">. Решта громадян з різних причин не була зайнята більше 1 року або відносилась до випускників навчальних закладів різних типів, що не мали професійного досвіду. </w:t>
      </w:r>
    </w:p>
    <w:p w:rsidR="00285AEF" w:rsidRPr="0048317A" w:rsidRDefault="00285AEF" w:rsidP="00285AEF">
      <w:pPr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48317A">
        <w:rPr>
          <w:sz w:val="28"/>
          <w:szCs w:val="28"/>
          <w:lang w:val="uk-UA"/>
        </w:rPr>
        <w:t xml:space="preserve">Протягом </w:t>
      </w:r>
      <w:r w:rsidR="00687B3D" w:rsidRPr="0048317A">
        <w:rPr>
          <w:sz w:val="28"/>
          <w:szCs w:val="28"/>
          <w:lang w:val="uk-UA"/>
        </w:rPr>
        <w:t>січня</w:t>
      </w:r>
      <w:r w:rsidR="00263134" w:rsidRPr="0048317A">
        <w:rPr>
          <w:sz w:val="28"/>
          <w:szCs w:val="28"/>
          <w:lang w:val="uk-UA"/>
        </w:rPr>
        <w:t>-</w:t>
      </w:r>
      <w:r w:rsidR="00910AA2" w:rsidRPr="0048317A">
        <w:rPr>
          <w:sz w:val="28"/>
          <w:szCs w:val="28"/>
          <w:lang w:val="uk-UA"/>
        </w:rPr>
        <w:t>грудня</w:t>
      </w:r>
      <w:r w:rsidR="00687B3D" w:rsidRPr="0048317A">
        <w:rPr>
          <w:sz w:val="28"/>
          <w:szCs w:val="28"/>
          <w:lang w:val="uk-UA"/>
        </w:rPr>
        <w:t xml:space="preserve"> 20</w:t>
      </w:r>
      <w:r w:rsidR="00AE0018" w:rsidRPr="0048317A">
        <w:rPr>
          <w:sz w:val="28"/>
          <w:szCs w:val="28"/>
          <w:lang w:val="uk-UA"/>
        </w:rPr>
        <w:t>20</w:t>
      </w:r>
      <w:r w:rsidRPr="0048317A">
        <w:rPr>
          <w:sz w:val="28"/>
          <w:szCs w:val="28"/>
          <w:lang w:val="uk-UA"/>
        </w:rPr>
        <w:t xml:space="preserve"> року кількість випускників, що отримували послуги служби зайнятості становила</w:t>
      </w:r>
      <w:r w:rsidR="00A52A1F" w:rsidRPr="0048317A">
        <w:rPr>
          <w:sz w:val="28"/>
          <w:szCs w:val="28"/>
          <w:lang w:val="uk-UA"/>
        </w:rPr>
        <w:t xml:space="preserve"> </w:t>
      </w:r>
      <w:r w:rsidR="00437322" w:rsidRPr="0048317A">
        <w:rPr>
          <w:sz w:val="28"/>
          <w:szCs w:val="28"/>
          <w:lang w:val="uk-UA"/>
        </w:rPr>
        <w:t>1</w:t>
      </w:r>
      <w:r w:rsidR="00406ACE" w:rsidRPr="0048317A">
        <w:rPr>
          <w:sz w:val="28"/>
          <w:szCs w:val="28"/>
          <w:lang w:val="uk-UA"/>
        </w:rPr>
        <w:t>,1</w:t>
      </w:r>
      <w:r w:rsidR="00A87ACF" w:rsidRPr="0048317A">
        <w:rPr>
          <w:sz w:val="28"/>
          <w:szCs w:val="28"/>
          <w:lang w:val="uk-UA"/>
        </w:rPr>
        <w:t xml:space="preserve"> </w:t>
      </w:r>
      <w:r w:rsidR="002658AB" w:rsidRPr="0048317A">
        <w:rPr>
          <w:sz w:val="28"/>
          <w:szCs w:val="28"/>
          <w:lang w:val="uk-UA"/>
        </w:rPr>
        <w:t>тис.</w:t>
      </w:r>
      <w:r w:rsidR="00A75AF7" w:rsidRPr="0048317A">
        <w:rPr>
          <w:sz w:val="28"/>
          <w:szCs w:val="28"/>
          <w:lang w:val="uk-UA"/>
        </w:rPr>
        <w:t xml:space="preserve"> </w:t>
      </w:r>
      <w:r w:rsidRPr="0048317A">
        <w:rPr>
          <w:sz w:val="28"/>
          <w:szCs w:val="28"/>
          <w:lang w:val="uk-UA"/>
        </w:rPr>
        <w:t>ос</w:t>
      </w:r>
      <w:r w:rsidR="00FB5CC5" w:rsidRPr="0048317A">
        <w:rPr>
          <w:sz w:val="28"/>
          <w:szCs w:val="28"/>
          <w:lang w:val="uk-UA"/>
        </w:rPr>
        <w:t>іб</w:t>
      </w:r>
      <w:r w:rsidRPr="0048317A">
        <w:rPr>
          <w:sz w:val="28"/>
          <w:szCs w:val="28"/>
          <w:lang w:val="uk-UA"/>
        </w:rPr>
        <w:t xml:space="preserve"> (у т.ч. </w:t>
      </w:r>
      <w:r w:rsidR="00820447" w:rsidRPr="0048317A">
        <w:rPr>
          <w:sz w:val="28"/>
          <w:szCs w:val="28"/>
          <w:lang w:val="uk-UA"/>
        </w:rPr>
        <w:t>807</w:t>
      </w:r>
      <w:r w:rsidRPr="0048317A">
        <w:rPr>
          <w:sz w:val="28"/>
          <w:szCs w:val="28"/>
          <w:lang w:val="uk-UA"/>
        </w:rPr>
        <w:t xml:space="preserve"> випускник</w:t>
      </w:r>
      <w:r w:rsidR="00406ACE" w:rsidRPr="0048317A">
        <w:rPr>
          <w:sz w:val="28"/>
          <w:szCs w:val="28"/>
          <w:lang w:val="uk-UA"/>
        </w:rPr>
        <w:t>и</w:t>
      </w:r>
      <w:r w:rsidRPr="0048317A">
        <w:rPr>
          <w:sz w:val="28"/>
          <w:szCs w:val="28"/>
          <w:lang w:val="uk-UA"/>
        </w:rPr>
        <w:t xml:space="preserve"> вищих навчальних закладів та</w:t>
      </w:r>
      <w:r w:rsidRPr="0048317A">
        <w:rPr>
          <w:sz w:val="28"/>
          <w:szCs w:val="28"/>
          <w:lang w:val="en-US"/>
        </w:rPr>
        <w:t> </w:t>
      </w:r>
      <w:r w:rsidR="00D07B73" w:rsidRPr="0048317A">
        <w:rPr>
          <w:sz w:val="28"/>
          <w:szCs w:val="28"/>
          <w:lang w:val="uk-UA"/>
        </w:rPr>
        <w:t>2</w:t>
      </w:r>
      <w:r w:rsidR="00820447" w:rsidRPr="0048317A">
        <w:rPr>
          <w:sz w:val="28"/>
          <w:szCs w:val="28"/>
          <w:lang w:val="uk-UA"/>
        </w:rPr>
        <w:t>89</w:t>
      </w:r>
      <w:r w:rsidR="00687B3D" w:rsidRPr="0048317A">
        <w:rPr>
          <w:sz w:val="28"/>
          <w:szCs w:val="28"/>
          <w:lang w:val="uk-UA"/>
        </w:rPr>
        <w:t xml:space="preserve"> </w:t>
      </w:r>
      <w:r w:rsidRPr="0048317A">
        <w:rPr>
          <w:sz w:val="28"/>
          <w:szCs w:val="28"/>
          <w:lang w:val="uk-UA"/>
        </w:rPr>
        <w:t>випускник</w:t>
      </w:r>
      <w:r w:rsidR="00FF06B6" w:rsidRPr="0048317A">
        <w:rPr>
          <w:sz w:val="28"/>
          <w:szCs w:val="28"/>
          <w:lang w:val="uk-UA"/>
        </w:rPr>
        <w:t>и</w:t>
      </w:r>
      <w:r w:rsidRPr="0048317A">
        <w:rPr>
          <w:sz w:val="28"/>
          <w:szCs w:val="28"/>
          <w:lang w:val="uk-UA"/>
        </w:rPr>
        <w:t xml:space="preserve"> професійно-технічних навчальних закладів).  </w:t>
      </w:r>
    </w:p>
    <w:p w:rsidR="00285AEF" w:rsidRPr="0048317A" w:rsidRDefault="00285AEF" w:rsidP="00285AEF">
      <w:pPr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48317A">
        <w:rPr>
          <w:sz w:val="28"/>
          <w:szCs w:val="28"/>
          <w:lang w:val="uk-UA"/>
        </w:rPr>
        <w:t xml:space="preserve">Серед </w:t>
      </w:r>
      <w:r w:rsidR="00C468B6" w:rsidRPr="0048317A">
        <w:rPr>
          <w:sz w:val="28"/>
          <w:szCs w:val="28"/>
          <w:lang w:val="uk-UA"/>
        </w:rPr>
        <w:t xml:space="preserve"> </w:t>
      </w:r>
      <w:r w:rsidRPr="0048317A">
        <w:rPr>
          <w:sz w:val="28"/>
          <w:szCs w:val="28"/>
          <w:lang w:val="uk-UA"/>
        </w:rPr>
        <w:t xml:space="preserve">випускників ВНЗ </w:t>
      </w:r>
      <w:r w:rsidR="009718C2" w:rsidRPr="0048317A">
        <w:rPr>
          <w:sz w:val="28"/>
          <w:szCs w:val="28"/>
          <w:lang w:val="uk-UA"/>
        </w:rPr>
        <w:t>23,</w:t>
      </w:r>
      <w:r w:rsidR="00911AEF" w:rsidRPr="0048317A">
        <w:rPr>
          <w:sz w:val="28"/>
          <w:szCs w:val="28"/>
          <w:lang w:val="uk-UA"/>
        </w:rPr>
        <w:t>4</w:t>
      </w:r>
      <w:r w:rsidR="0075373A" w:rsidRPr="0048317A">
        <w:rPr>
          <w:sz w:val="28"/>
          <w:szCs w:val="28"/>
          <w:lang w:val="uk-UA"/>
        </w:rPr>
        <w:t>%</w:t>
      </w:r>
      <w:r w:rsidRPr="0048317A">
        <w:rPr>
          <w:sz w:val="28"/>
          <w:szCs w:val="28"/>
          <w:lang w:val="uk-UA"/>
        </w:rPr>
        <w:t xml:space="preserve"> навчалася у галузі со</w:t>
      </w:r>
      <w:r w:rsidR="00C052D2" w:rsidRPr="0048317A">
        <w:rPr>
          <w:sz w:val="28"/>
          <w:szCs w:val="28"/>
          <w:lang w:val="uk-UA"/>
        </w:rPr>
        <w:t>ціальних наук, бізнесу та права;</w:t>
      </w:r>
      <w:r w:rsidR="00674C6B" w:rsidRPr="0048317A">
        <w:rPr>
          <w:sz w:val="28"/>
          <w:szCs w:val="28"/>
          <w:lang w:val="uk-UA"/>
        </w:rPr>
        <w:t xml:space="preserve"> </w:t>
      </w:r>
      <w:r w:rsidR="00911AEF" w:rsidRPr="0048317A">
        <w:rPr>
          <w:sz w:val="28"/>
          <w:szCs w:val="28"/>
          <w:lang w:val="uk-UA"/>
        </w:rPr>
        <w:t>19,1</w:t>
      </w:r>
      <w:r w:rsidR="00EF6EA2" w:rsidRPr="0048317A">
        <w:rPr>
          <w:sz w:val="28"/>
          <w:szCs w:val="28"/>
          <w:lang w:val="uk-UA"/>
        </w:rPr>
        <w:t>% -</w:t>
      </w:r>
      <w:r w:rsidR="00C052D2" w:rsidRPr="0048317A">
        <w:rPr>
          <w:sz w:val="28"/>
          <w:szCs w:val="28"/>
          <w:lang w:val="uk-UA"/>
        </w:rPr>
        <w:t xml:space="preserve"> мали інженерну спеціальність;</w:t>
      </w:r>
      <w:r w:rsidR="00EF6EA2" w:rsidRPr="0048317A">
        <w:rPr>
          <w:sz w:val="28"/>
          <w:szCs w:val="28"/>
          <w:lang w:val="uk-UA"/>
        </w:rPr>
        <w:t xml:space="preserve"> </w:t>
      </w:r>
      <w:r w:rsidR="00EB6B3E" w:rsidRPr="0048317A">
        <w:rPr>
          <w:sz w:val="28"/>
          <w:szCs w:val="28"/>
          <w:lang w:val="uk-UA"/>
        </w:rPr>
        <w:t>9</w:t>
      </w:r>
      <w:r w:rsidR="00933541" w:rsidRPr="0048317A">
        <w:rPr>
          <w:sz w:val="28"/>
          <w:szCs w:val="28"/>
          <w:lang w:val="uk-UA"/>
        </w:rPr>
        <w:t>% - отримали освіту в управлінні та адмініструванні;</w:t>
      </w:r>
      <w:r w:rsidR="000D055C" w:rsidRPr="0048317A">
        <w:rPr>
          <w:sz w:val="28"/>
          <w:szCs w:val="28"/>
          <w:lang w:val="uk-UA"/>
        </w:rPr>
        <w:t xml:space="preserve"> 8,</w:t>
      </w:r>
      <w:r w:rsidR="00911AEF" w:rsidRPr="0048317A">
        <w:rPr>
          <w:sz w:val="28"/>
          <w:szCs w:val="28"/>
          <w:lang w:val="uk-UA"/>
        </w:rPr>
        <w:t>8</w:t>
      </w:r>
      <w:r w:rsidR="000D055C" w:rsidRPr="0048317A">
        <w:rPr>
          <w:sz w:val="28"/>
          <w:szCs w:val="28"/>
          <w:lang w:val="uk-UA"/>
        </w:rPr>
        <w:t>% - у сфері освіти</w:t>
      </w:r>
      <w:r w:rsidR="00933541" w:rsidRPr="0048317A">
        <w:rPr>
          <w:sz w:val="28"/>
          <w:szCs w:val="28"/>
          <w:lang w:val="uk-UA"/>
        </w:rPr>
        <w:t xml:space="preserve"> </w:t>
      </w:r>
      <w:r w:rsidR="00911AEF" w:rsidRPr="0048317A">
        <w:rPr>
          <w:sz w:val="28"/>
          <w:szCs w:val="28"/>
          <w:lang w:val="uk-UA"/>
        </w:rPr>
        <w:t>та 8,7</w:t>
      </w:r>
      <w:r w:rsidR="00C468B6" w:rsidRPr="0048317A">
        <w:rPr>
          <w:sz w:val="28"/>
          <w:szCs w:val="28"/>
          <w:lang w:val="uk-UA"/>
        </w:rPr>
        <w:t>% - в охороні здоров’я</w:t>
      </w:r>
      <w:r w:rsidR="00C84FDC" w:rsidRPr="0048317A">
        <w:rPr>
          <w:sz w:val="28"/>
          <w:szCs w:val="28"/>
          <w:lang w:val="uk-UA"/>
        </w:rPr>
        <w:t>.</w:t>
      </w:r>
    </w:p>
    <w:p w:rsidR="00285AEF" w:rsidRPr="0048317A" w:rsidRDefault="00285AEF" w:rsidP="00285AEF">
      <w:pPr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48317A">
        <w:rPr>
          <w:sz w:val="28"/>
          <w:szCs w:val="28"/>
          <w:lang w:val="uk-UA"/>
        </w:rPr>
        <w:t xml:space="preserve">Серед </w:t>
      </w:r>
      <w:r w:rsidR="004574F6" w:rsidRPr="0048317A">
        <w:rPr>
          <w:sz w:val="28"/>
          <w:szCs w:val="28"/>
          <w:lang w:val="uk-UA"/>
        </w:rPr>
        <w:t xml:space="preserve"> </w:t>
      </w:r>
      <w:r w:rsidRPr="0048317A">
        <w:rPr>
          <w:sz w:val="28"/>
          <w:szCs w:val="28"/>
          <w:lang w:val="uk-UA"/>
        </w:rPr>
        <w:t>випускників ПТНЗ</w:t>
      </w:r>
      <w:r w:rsidR="00D646E1" w:rsidRPr="0048317A">
        <w:rPr>
          <w:sz w:val="28"/>
          <w:szCs w:val="28"/>
          <w:lang w:val="uk-UA"/>
        </w:rPr>
        <w:t xml:space="preserve"> </w:t>
      </w:r>
      <w:r w:rsidR="004574F6" w:rsidRPr="0048317A">
        <w:rPr>
          <w:sz w:val="28"/>
          <w:szCs w:val="28"/>
          <w:lang w:val="uk-UA"/>
        </w:rPr>
        <w:t xml:space="preserve"> </w:t>
      </w:r>
      <w:r w:rsidR="009718C2" w:rsidRPr="0048317A">
        <w:rPr>
          <w:sz w:val="28"/>
          <w:szCs w:val="28"/>
          <w:lang w:val="uk-UA"/>
        </w:rPr>
        <w:t>46</w:t>
      </w:r>
      <w:r w:rsidRPr="0048317A">
        <w:rPr>
          <w:sz w:val="28"/>
          <w:szCs w:val="28"/>
          <w:lang w:val="uk-UA"/>
        </w:rPr>
        <w:t xml:space="preserve">% становлять </w:t>
      </w:r>
      <w:r w:rsidR="00A26A4E" w:rsidRPr="0048317A">
        <w:rPr>
          <w:sz w:val="28"/>
          <w:szCs w:val="28"/>
          <w:lang w:val="uk-UA"/>
        </w:rPr>
        <w:t>кваліфіковані робітники з інструментом</w:t>
      </w:r>
      <w:r w:rsidR="00221BA2" w:rsidRPr="0048317A">
        <w:rPr>
          <w:sz w:val="28"/>
          <w:szCs w:val="28"/>
          <w:lang w:val="uk-UA"/>
        </w:rPr>
        <w:t xml:space="preserve">; </w:t>
      </w:r>
      <w:r w:rsidR="0093281C" w:rsidRPr="0048317A">
        <w:rPr>
          <w:sz w:val="28"/>
          <w:szCs w:val="28"/>
          <w:lang w:val="uk-UA"/>
        </w:rPr>
        <w:t>33,2</w:t>
      </w:r>
      <w:r w:rsidR="00A26A4E" w:rsidRPr="0048317A">
        <w:rPr>
          <w:sz w:val="28"/>
          <w:szCs w:val="28"/>
          <w:lang w:val="uk-UA"/>
        </w:rPr>
        <w:t>% - працівники сфери торгівлі та послуг</w:t>
      </w:r>
      <w:r w:rsidR="00204617" w:rsidRPr="0048317A">
        <w:rPr>
          <w:sz w:val="28"/>
          <w:szCs w:val="28"/>
          <w:lang w:val="uk-UA"/>
        </w:rPr>
        <w:t>;</w:t>
      </w:r>
      <w:r w:rsidR="00CD61E5" w:rsidRPr="0048317A">
        <w:rPr>
          <w:sz w:val="28"/>
          <w:szCs w:val="28"/>
          <w:lang w:val="uk-UA"/>
        </w:rPr>
        <w:t xml:space="preserve"> </w:t>
      </w:r>
      <w:r w:rsidR="009718C2" w:rsidRPr="0048317A">
        <w:rPr>
          <w:sz w:val="28"/>
          <w:szCs w:val="28"/>
          <w:lang w:val="uk-UA"/>
        </w:rPr>
        <w:t>11</w:t>
      </w:r>
      <w:r w:rsidR="0093281C" w:rsidRPr="0048317A">
        <w:rPr>
          <w:sz w:val="28"/>
          <w:szCs w:val="28"/>
          <w:lang w:val="uk-UA"/>
        </w:rPr>
        <w:t>,1</w:t>
      </w:r>
      <w:r w:rsidR="00453849" w:rsidRPr="0048317A">
        <w:rPr>
          <w:sz w:val="28"/>
          <w:szCs w:val="28"/>
          <w:lang w:val="uk-UA"/>
        </w:rPr>
        <w:t xml:space="preserve">% - </w:t>
      </w:r>
      <w:r w:rsidR="00CD61E5" w:rsidRPr="0048317A">
        <w:rPr>
          <w:sz w:val="28"/>
          <w:szCs w:val="28"/>
          <w:lang w:val="uk-UA"/>
        </w:rPr>
        <w:t>робітники з обслуговування устаткування та машин</w:t>
      </w:r>
      <w:r w:rsidR="009718C2" w:rsidRPr="0048317A">
        <w:rPr>
          <w:sz w:val="28"/>
          <w:szCs w:val="28"/>
          <w:lang w:val="uk-UA"/>
        </w:rPr>
        <w:t xml:space="preserve"> та </w:t>
      </w:r>
      <w:r w:rsidR="0093281C" w:rsidRPr="0048317A">
        <w:rPr>
          <w:sz w:val="28"/>
          <w:szCs w:val="28"/>
          <w:lang w:val="uk-UA"/>
        </w:rPr>
        <w:t>9,</w:t>
      </w:r>
      <w:r w:rsidR="00C33B64" w:rsidRPr="0048317A">
        <w:rPr>
          <w:sz w:val="28"/>
          <w:szCs w:val="28"/>
          <w:lang w:val="uk-UA"/>
        </w:rPr>
        <w:t>4</w:t>
      </w:r>
      <w:r w:rsidR="009718C2" w:rsidRPr="0048317A">
        <w:rPr>
          <w:sz w:val="28"/>
          <w:szCs w:val="28"/>
          <w:lang w:val="uk-UA"/>
        </w:rPr>
        <w:t>% - спеціалісти</w:t>
      </w:r>
      <w:r w:rsidRPr="0048317A">
        <w:rPr>
          <w:sz w:val="28"/>
          <w:szCs w:val="28"/>
          <w:lang w:val="uk-UA"/>
        </w:rPr>
        <w:t>.</w:t>
      </w:r>
    </w:p>
    <w:p w:rsidR="00285AEF" w:rsidRPr="0048317A" w:rsidRDefault="001A449E" w:rsidP="00285AEF">
      <w:pPr>
        <w:spacing w:line="336" w:lineRule="auto"/>
        <w:ind w:left="-851" w:firstLine="283"/>
        <w:jc w:val="both"/>
        <w:rPr>
          <w:sz w:val="28"/>
          <w:szCs w:val="28"/>
          <w:lang w:val="uk-UA"/>
        </w:rPr>
      </w:pPr>
      <w:r w:rsidRPr="0048317A">
        <w:rPr>
          <w:noProof/>
          <w:color w:val="FF6699"/>
          <w:sz w:val="28"/>
          <w:szCs w:val="28"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3.1pt;margin-top:13.05pt;width:0;height:247.1pt;z-index:251658240" o:connectortype="straight" strokecolor="#5a5a5a [2109]" strokeweight="1.5pt"/>
        </w:pict>
      </w:r>
      <w:r w:rsidR="00285AEF" w:rsidRPr="0048317A">
        <w:rPr>
          <w:noProof/>
          <w:color w:val="FF6699"/>
          <w:sz w:val="28"/>
          <w:szCs w:val="28"/>
          <w:lang w:val="uk-UA" w:eastAsia="uk-UA"/>
        </w:rPr>
        <w:drawing>
          <wp:inline distT="0" distB="0" distL="0" distR="0">
            <wp:extent cx="3622964" cy="3442855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285AEF" w:rsidRPr="0048317A">
        <w:rPr>
          <w:noProof/>
          <w:color w:val="0000CC"/>
          <w:sz w:val="28"/>
          <w:szCs w:val="28"/>
          <w:lang w:val="uk-UA" w:eastAsia="uk-UA"/>
        </w:rPr>
        <w:drawing>
          <wp:inline distT="0" distB="0" distL="0" distR="0">
            <wp:extent cx="3532909" cy="3442855"/>
            <wp:effectExtent l="1905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85AEF" w:rsidRPr="0048317A" w:rsidRDefault="00A11736" w:rsidP="00285AEF">
      <w:pPr>
        <w:pStyle w:val="3"/>
        <w:spacing w:before="120" w:line="360" w:lineRule="auto"/>
        <w:ind w:left="0" w:firstLine="720"/>
        <w:contextualSpacing/>
        <w:rPr>
          <w:sz w:val="28"/>
          <w:szCs w:val="28"/>
        </w:rPr>
      </w:pPr>
      <w:r w:rsidRPr="0048317A">
        <w:rPr>
          <w:sz w:val="28"/>
          <w:szCs w:val="28"/>
        </w:rPr>
        <w:lastRenderedPageBreak/>
        <w:t>За сприяння</w:t>
      </w:r>
      <w:r w:rsidR="00285AEF" w:rsidRPr="0048317A">
        <w:rPr>
          <w:sz w:val="28"/>
          <w:szCs w:val="28"/>
        </w:rPr>
        <w:t xml:space="preserve"> служби зайнятості у </w:t>
      </w:r>
      <w:r w:rsidR="00C84550" w:rsidRPr="0048317A">
        <w:rPr>
          <w:sz w:val="28"/>
          <w:szCs w:val="28"/>
        </w:rPr>
        <w:t>січні</w:t>
      </w:r>
      <w:r w:rsidR="00263134" w:rsidRPr="0048317A">
        <w:rPr>
          <w:sz w:val="28"/>
          <w:szCs w:val="28"/>
        </w:rPr>
        <w:t>-</w:t>
      </w:r>
      <w:r w:rsidR="00910AA2" w:rsidRPr="0048317A">
        <w:rPr>
          <w:sz w:val="28"/>
          <w:szCs w:val="28"/>
        </w:rPr>
        <w:t>грудні</w:t>
      </w:r>
      <w:r w:rsidR="00C84550" w:rsidRPr="0048317A">
        <w:rPr>
          <w:sz w:val="28"/>
          <w:szCs w:val="28"/>
        </w:rPr>
        <w:t xml:space="preserve"> 20</w:t>
      </w:r>
      <w:r w:rsidR="005C7EB5" w:rsidRPr="0048317A">
        <w:rPr>
          <w:sz w:val="28"/>
          <w:szCs w:val="28"/>
        </w:rPr>
        <w:t>20</w:t>
      </w:r>
      <w:r w:rsidR="00285AEF" w:rsidRPr="0048317A">
        <w:rPr>
          <w:sz w:val="28"/>
          <w:szCs w:val="28"/>
        </w:rPr>
        <w:t xml:space="preserve"> ро</w:t>
      </w:r>
      <w:r w:rsidR="00C84550" w:rsidRPr="0048317A">
        <w:rPr>
          <w:sz w:val="28"/>
          <w:szCs w:val="28"/>
        </w:rPr>
        <w:t>ку</w:t>
      </w:r>
      <w:r w:rsidR="00285AEF" w:rsidRPr="0048317A">
        <w:rPr>
          <w:sz w:val="28"/>
          <w:szCs w:val="28"/>
        </w:rPr>
        <w:t xml:space="preserve"> знайшли роботу </w:t>
      </w:r>
      <w:r w:rsidR="00992AAB" w:rsidRPr="0048317A">
        <w:rPr>
          <w:sz w:val="28"/>
          <w:szCs w:val="28"/>
          <w:lang w:val="ru-RU"/>
        </w:rPr>
        <w:t>7</w:t>
      </w:r>
      <w:r w:rsidR="00910AA2" w:rsidRPr="0048317A">
        <w:rPr>
          <w:sz w:val="28"/>
          <w:szCs w:val="28"/>
          <w:lang w:val="ru-RU"/>
        </w:rPr>
        <w:t>,4</w:t>
      </w:r>
      <w:r w:rsidR="00DD537B" w:rsidRPr="0048317A">
        <w:rPr>
          <w:sz w:val="28"/>
          <w:szCs w:val="28"/>
          <w:lang w:val="ru-RU"/>
        </w:rPr>
        <w:t xml:space="preserve"> </w:t>
      </w:r>
      <w:r w:rsidR="00D26DC5" w:rsidRPr="0048317A">
        <w:rPr>
          <w:sz w:val="28"/>
          <w:szCs w:val="28"/>
          <w:lang w:val="ru-RU"/>
        </w:rPr>
        <w:t>тис.</w:t>
      </w:r>
      <w:r w:rsidR="00285AEF" w:rsidRPr="0048317A">
        <w:rPr>
          <w:sz w:val="28"/>
          <w:szCs w:val="28"/>
        </w:rPr>
        <w:t xml:space="preserve"> молодих громадян</w:t>
      </w:r>
      <w:r w:rsidR="008722C7" w:rsidRPr="0048317A">
        <w:rPr>
          <w:sz w:val="28"/>
          <w:szCs w:val="28"/>
        </w:rPr>
        <w:t>ина</w:t>
      </w:r>
      <w:r w:rsidR="00285AEF" w:rsidRPr="0048317A">
        <w:rPr>
          <w:sz w:val="28"/>
          <w:szCs w:val="28"/>
        </w:rPr>
        <w:t xml:space="preserve">, зокрема, </w:t>
      </w:r>
      <w:r w:rsidR="00910AA2" w:rsidRPr="0048317A">
        <w:rPr>
          <w:sz w:val="28"/>
          <w:szCs w:val="28"/>
        </w:rPr>
        <w:t>33,9</w:t>
      </w:r>
      <w:r w:rsidR="00765B97" w:rsidRPr="0048317A">
        <w:rPr>
          <w:sz w:val="28"/>
          <w:szCs w:val="28"/>
        </w:rPr>
        <w:t>% з них були працевлаштовані оперативно до набуття статусу безробітного</w:t>
      </w:r>
      <w:r w:rsidR="00285AEF" w:rsidRPr="0048317A">
        <w:rPr>
          <w:sz w:val="28"/>
          <w:szCs w:val="28"/>
        </w:rPr>
        <w:t>.</w:t>
      </w:r>
    </w:p>
    <w:p w:rsidR="00285AEF" w:rsidRPr="0048317A" w:rsidRDefault="00285AEF" w:rsidP="00285AEF">
      <w:pPr>
        <w:pStyle w:val="21"/>
        <w:spacing w:before="120" w:line="360" w:lineRule="auto"/>
        <w:ind w:firstLine="709"/>
        <w:contextualSpacing/>
        <w:rPr>
          <w:szCs w:val="28"/>
        </w:rPr>
      </w:pPr>
      <w:r w:rsidRPr="0048317A">
        <w:rPr>
          <w:szCs w:val="28"/>
        </w:rPr>
        <w:t>Профорієнтаційними послугами у</w:t>
      </w:r>
      <w:r w:rsidR="005006F8" w:rsidRPr="0048317A">
        <w:rPr>
          <w:szCs w:val="28"/>
        </w:rPr>
        <w:t xml:space="preserve"> січні</w:t>
      </w:r>
      <w:r w:rsidR="006A6905" w:rsidRPr="0048317A">
        <w:rPr>
          <w:szCs w:val="28"/>
        </w:rPr>
        <w:t>-</w:t>
      </w:r>
      <w:r w:rsidR="007C67F2" w:rsidRPr="0048317A">
        <w:rPr>
          <w:szCs w:val="28"/>
        </w:rPr>
        <w:t>грудні</w:t>
      </w:r>
      <w:r w:rsidR="00852A5E" w:rsidRPr="0048317A">
        <w:rPr>
          <w:szCs w:val="28"/>
        </w:rPr>
        <w:t xml:space="preserve"> </w:t>
      </w:r>
      <w:r w:rsidR="005006F8" w:rsidRPr="0048317A">
        <w:rPr>
          <w:szCs w:val="28"/>
        </w:rPr>
        <w:t>20</w:t>
      </w:r>
      <w:r w:rsidR="00FD238A" w:rsidRPr="0048317A">
        <w:rPr>
          <w:szCs w:val="28"/>
        </w:rPr>
        <w:t>20</w:t>
      </w:r>
      <w:r w:rsidRPr="0048317A">
        <w:rPr>
          <w:szCs w:val="28"/>
        </w:rPr>
        <w:t xml:space="preserve"> ро</w:t>
      </w:r>
      <w:r w:rsidR="005006F8" w:rsidRPr="0048317A">
        <w:rPr>
          <w:szCs w:val="28"/>
        </w:rPr>
        <w:t>ку</w:t>
      </w:r>
      <w:r w:rsidRPr="0048317A">
        <w:rPr>
          <w:szCs w:val="28"/>
        </w:rPr>
        <w:t xml:space="preserve"> було охоплено </w:t>
      </w:r>
      <w:r w:rsidR="00382F45" w:rsidRPr="0048317A">
        <w:rPr>
          <w:szCs w:val="28"/>
        </w:rPr>
        <w:t>15</w:t>
      </w:r>
      <w:r w:rsidR="00DC2B3F" w:rsidRPr="0048317A">
        <w:rPr>
          <w:szCs w:val="28"/>
        </w:rPr>
        <w:t>,5</w:t>
      </w:r>
      <w:r w:rsidRPr="0048317A">
        <w:rPr>
          <w:szCs w:val="28"/>
        </w:rPr>
        <w:t xml:space="preserve"> тис. безробітних з числа молоді та </w:t>
      </w:r>
      <w:r w:rsidR="00382F45" w:rsidRPr="0048317A">
        <w:rPr>
          <w:szCs w:val="28"/>
        </w:rPr>
        <w:t>34,2</w:t>
      </w:r>
      <w:r w:rsidR="000E7C5D" w:rsidRPr="0048317A">
        <w:rPr>
          <w:szCs w:val="28"/>
        </w:rPr>
        <w:t xml:space="preserve"> </w:t>
      </w:r>
      <w:r w:rsidRPr="0048317A">
        <w:rPr>
          <w:szCs w:val="28"/>
        </w:rPr>
        <w:t>тис. осіб, які навчаються в різних навчальних закладах.</w:t>
      </w:r>
    </w:p>
    <w:p w:rsidR="00285AEF" w:rsidRPr="0048317A" w:rsidRDefault="00285AEF" w:rsidP="00285AEF">
      <w:pPr>
        <w:pStyle w:val="21"/>
        <w:spacing w:before="120" w:line="360" w:lineRule="auto"/>
        <w:ind w:firstLine="709"/>
        <w:contextualSpacing/>
        <w:rPr>
          <w:szCs w:val="28"/>
        </w:rPr>
      </w:pPr>
      <w:r w:rsidRPr="0048317A">
        <w:rPr>
          <w:szCs w:val="28"/>
        </w:rPr>
        <w:t xml:space="preserve">З метою максимального наближення професійних навичок громадян, які шукають роботу до потреб роботодавців, розширення їх </w:t>
      </w:r>
      <w:proofErr w:type="spellStart"/>
      <w:r w:rsidRPr="0048317A">
        <w:rPr>
          <w:szCs w:val="28"/>
        </w:rPr>
        <w:t>комп</w:t>
      </w:r>
      <w:r w:rsidR="00B87FF7" w:rsidRPr="0048317A">
        <w:rPr>
          <w:szCs w:val="28"/>
        </w:rPr>
        <w:t>етенцій</w:t>
      </w:r>
      <w:proofErr w:type="spellEnd"/>
      <w:r w:rsidR="00B87FF7" w:rsidRPr="0048317A">
        <w:rPr>
          <w:szCs w:val="28"/>
        </w:rPr>
        <w:t xml:space="preserve"> та підвищення конкурент</w:t>
      </w:r>
      <w:r w:rsidRPr="0048317A">
        <w:rPr>
          <w:szCs w:val="28"/>
        </w:rPr>
        <w:t>ос</w:t>
      </w:r>
      <w:r w:rsidR="004D3876" w:rsidRPr="0048317A">
        <w:rPr>
          <w:szCs w:val="28"/>
        </w:rPr>
        <w:t>проможності</w:t>
      </w:r>
      <w:r w:rsidRPr="0048317A">
        <w:rPr>
          <w:szCs w:val="28"/>
        </w:rPr>
        <w:t>, службою зайнятості</w:t>
      </w:r>
      <w:r w:rsidR="00656CFE" w:rsidRPr="0048317A">
        <w:rPr>
          <w:szCs w:val="28"/>
        </w:rPr>
        <w:t xml:space="preserve"> протягом </w:t>
      </w:r>
      <w:r w:rsidR="00A12393" w:rsidRPr="0048317A">
        <w:rPr>
          <w:szCs w:val="28"/>
        </w:rPr>
        <w:t>січня</w:t>
      </w:r>
      <w:r w:rsidR="00185EFE" w:rsidRPr="0048317A">
        <w:rPr>
          <w:szCs w:val="28"/>
        </w:rPr>
        <w:t>-</w:t>
      </w:r>
      <w:r w:rsidR="009F4B80" w:rsidRPr="0048317A">
        <w:rPr>
          <w:szCs w:val="28"/>
        </w:rPr>
        <w:t>грудня</w:t>
      </w:r>
      <w:r w:rsidR="00A12393" w:rsidRPr="0048317A">
        <w:rPr>
          <w:szCs w:val="28"/>
        </w:rPr>
        <w:t xml:space="preserve"> 20</w:t>
      </w:r>
      <w:r w:rsidR="001A0C84" w:rsidRPr="0048317A">
        <w:rPr>
          <w:szCs w:val="28"/>
        </w:rPr>
        <w:t>20</w:t>
      </w:r>
      <w:r w:rsidRPr="0048317A">
        <w:rPr>
          <w:szCs w:val="28"/>
        </w:rPr>
        <w:t xml:space="preserve"> року здійснено професійне навчання  на замовлення роботодавців </w:t>
      </w:r>
      <w:r w:rsidR="009F4B80" w:rsidRPr="0048317A">
        <w:rPr>
          <w:szCs w:val="28"/>
        </w:rPr>
        <w:t>2</w:t>
      </w:r>
      <w:r w:rsidR="00AB5B07" w:rsidRPr="0048317A">
        <w:rPr>
          <w:szCs w:val="28"/>
        </w:rPr>
        <w:t xml:space="preserve"> тис.</w:t>
      </w:r>
      <w:r w:rsidRPr="0048317A">
        <w:rPr>
          <w:szCs w:val="28"/>
        </w:rPr>
        <w:t xml:space="preserve"> безробітних у віці до 35 років</w:t>
      </w:r>
      <w:r w:rsidR="00740102" w:rsidRPr="0048317A">
        <w:rPr>
          <w:szCs w:val="28"/>
        </w:rPr>
        <w:t>.</w:t>
      </w:r>
      <w:r w:rsidRPr="0048317A">
        <w:rPr>
          <w:szCs w:val="28"/>
        </w:rPr>
        <w:t xml:space="preserve"> </w:t>
      </w:r>
    </w:p>
    <w:p w:rsidR="004106A4" w:rsidRPr="0048317A" w:rsidRDefault="00285AEF" w:rsidP="00185EF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8317A">
        <w:rPr>
          <w:sz w:val="28"/>
          <w:szCs w:val="28"/>
          <w:lang w:val="uk-UA"/>
        </w:rPr>
        <w:t>До громадських та інших робіт тимчас</w:t>
      </w:r>
      <w:r w:rsidR="00440B45" w:rsidRPr="0048317A">
        <w:rPr>
          <w:sz w:val="28"/>
          <w:szCs w:val="28"/>
          <w:lang w:val="uk-UA"/>
        </w:rPr>
        <w:t xml:space="preserve">ового характеру було залучено </w:t>
      </w:r>
      <w:r w:rsidR="002F3B86" w:rsidRPr="0048317A">
        <w:rPr>
          <w:sz w:val="28"/>
          <w:szCs w:val="28"/>
          <w:lang w:val="uk-UA"/>
        </w:rPr>
        <w:t>2</w:t>
      </w:r>
      <w:r w:rsidR="0059149A" w:rsidRPr="0048317A">
        <w:rPr>
          <w:sz w:val="28"/>
          <w:szCs w:val="28"/>
          <w:lang w:val="uk-UA"/>
        </w:rPr>
        <w:t>,3</w:t>
      </w:r>
      <w:r w:rsidR="000D2EED" w:rsidRPr="0048317A">
        <w:rPr>
          <w:sz w:val="28"/>
          <w:szCs w:val="28"/>
          <w:lang w:val="uk-UA"/>
        </w:rPr>
        <w:t xml:space="preserve"> </w:t>
      </w:r>
      <w:r w:rsidR="00F50FDB" w:rsidRPr="0048317A">
        <w:rPr>
          <w:sz w:val="28"/>
          <w:szCs w:val="28"/>
          <w:lang w:val="uk-UA"/>
        </w:rPr>
        <w:t>тис.</w:t>
      </w:r>
      <w:r w:rsidR="00E82F78" w:rsidRPr="0048317A">
        <w:rPr>
          <w:sz w:val="28"/>
          <w:szCs w:val="28"/>
          <w:lang w:val="uk-UA"/>
        </w:rPr>
        <w:t xml:space="preserve"> ос</w:t>
      </w:r>
      <w:r w:rsidR="00AA5B9E" w:rsidRPr="0048317A">
        <w:rPr>
          <w:sz w:val="28"/>
          <w:szCs w:val="28"/>
          <w:lang w:val="uk-UA"/>
        </w:rPr>
        <w:t>іб з числа молоді</w:t>
      </w:r>
      <w:r w:rsidR="00E82F78" w:rsidRPr="0048317A">
        <w:rPr>
          <w:sz w:val="28"/>
          <w:szCs w:val="28"/>
          <w:lang w:val="uk-UA"/>
        </w:rPr>
        <w:t xml:space="preserve">. </w:t>
      </w:r>
      <w:r w:rsidRPr="0048317A">
        <w:rPr>
          <w:sz w:val="28"/>
          <w:szCs w:val="28"/>
          <w:lang w:val="uk-UA"/>
        </w:rPr>
        <w:t>Роботи організо</w:t>
      </w:r>
      <w:r w:rsidR="00841A68" w:rsidRPr="0048317A">
        <w:rPr>
          <w:sz w:val="28"/>
          <w:szCs w:val="28"/>
          <w:lang w:val="uk-UA"/>
        </w:rPr>
        <w:t xml:space="preserve">вувалися по наступних напрямках: </w:t>
      </w:r>
      <w:r w:rsidR="00C74444" w:rsidRPr="0048317A">
        <w:rPr>
          <w:sz w:val="28"/>
          <w:szCs w:val="28"/>
          <w:lang w:val="uk-UA"/>
        </w:rPr>
        <w:t>екологічний захист навколишнього середовища, роботи із соціально вразливими верствами населення, благоустрій, впорядкування місць поховання, меморіалів захисників Вітчизни та інформування населення про субсидії.</w:t>
      </w:r>
    </w:p>
    <w:p w:rsidR="00285AEF" w:rsidRPr="004106A4" w:rsidRDefault="00285AEF" w:rsidP="004106A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8317A">
        <w:rPr>
          <w:sz w:val="28"/>
          <w:szCs w:val="28"/>
          <w:lang w:val="uk-UA"/>
        </w:rPr>
        <w:t xml:space="preserve">Станом на 1 </w:t>
      </w:r>
      <w:r w:rsidR="00BA23F8" w:rsidRPr="0048317A">
        <w:rPr>
          <w:sz w:val="28"/>
          <w:szCs w:val="28"/>
          <w:lang w:val="uk-UA"/>
        </w:rPr>
        <w:t>січня</w:t>
      </w:r>
      <w:r w:rsidR="00113876" w:rsidRPr="0048317A">
        <w:rPr>
          <w:sz w:val="28"/>
          <w:szCs w:val="28"/>
          <w:lang w:val="uk-UA"/>
        </w:rPr>
        <w:t xml:space="preserve"> 20</w:t>
      </w:r>
      <w:r w:rsidR="00BA23F8" w:rsidRPr="0048317A">
        <w:rPr>
          <w:sz w:val="28"/>
          <w:szCs w:val="28"/>
          <w:lang w:val="uk-UA"/>
        </w:rPr>
        <w:t>21</w:t>
      </w:r>
      <w:r w:rsidRPr="0048317A">
        <w:rPr>
          <w:sz w:val="28"/>
          <w:szCs w:val="28"/>
          <w:lang w:val="uk-UA"/>
        </w:rPr>
        <w:t xml:space="preserve"> року кількість осіб з числа молоді, які мали статус безробітного становила </w:t>
      </w:r>
      <w:r w:rsidR="00752B1F" w:rsidRPr="0048317A">
        <w:rPr>
          <w:sz w:val="28"/>
          <w:szCs w:val="28"/>
          <w:lang w:val="uk-UA"/>
        </w:rPr>
        <w:t>4,</w:t>
      </w:r>
      <w:r w:rsidR="009A312F" w:rsidRPr="0048317A">
        <w:rPr>
          <w:sz w:val="28"/>
          <w:szCs w:val="28"/>
          <w:lang w:val="uk-UA"/>
        </w:rPr>
        <w:t>6</w:t>
      </w:r>
      <w:r w:rsidR="00D5413C" w:rsidRPr="0048317A">
        <w:rPr>
          <w:sz w:val="28"/>
          <w:szCs w:val="28"/>
          <w:lang w:val="uk-UA"/>
        </w:rPr>
        <w:t xml:space="preserve"> тис. осіб, що на </w:t>
      </w:r>
      <w:r w:rsidR="00BA23F8" w:rsidRPr="0048317A">
        <w:rPr>
          <w:sz w:val="28"/>
          <w:szCs w:val="28"/>
          <w:lang w:val="uk-UA"/>
        </w:rPr>
        <w:t>1,3</w:t>
      </w:r>
      <w:r w:rsidR="00EE7F46" w:rsidRPr="0048317A">
        <w:rPr>
          <w:sz w:val="28"/>
          <w:szCs w:val="28"/>
          <w:lang w:val="uk-UA"/>
        </w:rPr>
        <w:t xml:space="preserve"> </w:t>
      </w:r>
      <w:r w:rsidR="0040403E" w:rsidRPr="0048317A">
        <w:rPr>
          <w:sz w:val="28"/>
          <w:szCs w:val="28"/>
          <w:lang w:val="uk-UA"/>
        </w:rPr>
        <w:t>тис.</w:t>
      </w:r>
      <w:r w:rsidR="008F3B45" w:rsidRPr="0048317A">
        <w:rPr>
          <w:sz w:val="28"/>
          <w:szCs w:val="28"/>
          <w:lang w:val="uk-UA"/>
        </w:rPr>
        <w:t xml:space="preserve"> </w:t>
      </w:r>
      <w:r w:rsidRPr="0048317A">
        <w:rPr>
          <w:sz w:val="28"/>
          <w:szCs w:val="28"/>
          <w:lang w:val="uk-UA"/>
        </w:rPr>
        <w:t>ос</w:t>
      </w:r>
      <w:r w:rsidR="00C51055" w:rsidRPr="0048317A">
        <w:rPr>
          <w:sz w:val="28"/>
          <w:szCs w:val="28"/>
          <w:lang w:val="uk-UA"/>
        </w:rPr>
        <w:t>іб</w:t>
      </w:r>
      <w:r w:rsidRPr="0048317A">
        <w:rPr>
          <w:sz w:val="28"/>
          <w:szCs w:val="28"/>
          <w:lang w:val="uk-UA"/>
        </w:rPr>
        <w:t xml:space="preserve"> </w:t>
      </w:r>
      <w:r w:rsidR="00872825" w:rsidRPr="0048317A">
        <w:rPr>
          <w:sz w:val="28"/>
          <w:szCs w:val="28"/>
          <w:lang w:val="uk-UA"/>
        </w:rPr>
        <w:t xml:space="preserve"> </w:t>
      </w:r>
      <w:r w:rsidR="0040403E" w:rsidRPr="0048317A">
        <w:rPr>
          <w:sz w:val="28"/>
          <w:szCs w:val="28"/>
          <w:lang w:val="uk-UA"/>
        </w:rPr>
        <w:t>більше</w:t>
      </w:r>
      <w:r w:rsidRPr="0048317A">
        <w:rPr>
          <w:sz w:val="28"/>
          <w:szCs w:val="28"/>
          <w:lang w:val="uk-UA"/>
        </w:rPr>
        <w:t>, ніж на відповідну дату минулого року. Допом</w:t>
      </w:r>
      <w:r w:rsidR="00D5413C" w:rsidRPr="0048317A">
        <w:rPr>
          <w:sz w:val="28"/>
          <w:szCs w:val="28"/>
          <w:lang w:val="uk-UA"/>
        </w:rPr>
        <w:t xml:space="preserve">огу по безробіттю отримували </w:t>
      </w:r>
      <w:r w:rsidR="00752B1F" w:rsidRPr="0048317A">
        <w:rPr>
          <w:sz w:val="28"/>
          <w:szCs w:val="28"/>
          <w:lang w:val="uk-UA"/>
        </w:rPr>
        <w:t>3,7</w:t>
      </w:r>
      <w:r w:rsidR="00A4698B" w:rsidRPr="0048317A">
        <w:rPr>
          <w:sz w:val="28"/>
          <w:szCs w:val="28"/>
          <w:lang w:val="uk-UA"/>
        </w:rPr>
        <w:t xml:space="preserve"> </w:t>
      </w:r>
      <w:r w:rsidRPr="0048317A">
        <w:rPr>
          <w:sz w:val="28"/>
          <w:szCs w:val="28"/>
          <w:lang w:val="uk-UA"/>
        </w:rPr>
        <w:t xml:space="preserve">тис. осіб, що на </w:t>
      </w:r>
      <w:r w:rsidR="00B552E6" w:rsidRPr="0048317A">
        <w:rPr>
          <w:sz w:val="28"/>
          <w:szCs w:val="28"/>
          <w:lang w:val="uk-UA"/>
        </w:rPr>
        <w:t>1,4</w:t>
      </w:r>
      <w:r w:rsidR="00EE7F46" w:rsidRPr="0048317A">
        <w:rPr>
          <w:sz w:val="28"/>
          <w:szCs w:val="28"/>
          <w:lang w:val="uk-UA"/>
        </w:rPr>
        <w:t xml:space="preserve"> </w:t>
      </w:r>
      <w:r w:rsidR="0040403E" w:rsidRPr="0048317A">
        <w:rPr>
          <w:sz w:val="28"/>
          <w:szCs w:val="28"/>
          <w:lang w:val="uk-UA"/>
        </w:rPr>
        <w:t>тис.</w:t>
      </w:r>
      <w:r w:rsidR="008F3B45" w:rsidRPr="0048317A">
        <w:rPr>
          <w:sz w:val="28"/>
          <w:szCs w:val="28"/>
          <w:lang w:val="uk-UA"/>
        </w:rPr>
        <w:t xml:space="preserve"> ос</w:t>
      </w:r>
      <w:r w:rsidR="006F1F45" w:rsidRPr="0048317A">
        <w:rPr>
          <w:sz w:val="28"/>
          <w:szCs w:val="28"/>
          <w:lang w:val="uk-UA"/>
        </w:rPr>
        <w:t>іб</w:t>
      </w:r>
      <w:r w:rsidR="00185EFE" w:rsidRPr="0048317A">
        <w:rPr>
          <w:sz w:val="28"/>
          <w:szCs w:val="28"/>
          <w:lang w:val="uk-UA"/>
        </w:rPr>
        <w:t xml:space="preserve"> </w:t>
      </w:r>
      <w:r w:rsidR="00A81602" w:rsidRPr="0048317A">
        <w:rPr>
          <w:sz w:val="28"/>
          <w:szCs w:val="28"/>
          <w:lang w:val="uk-UA"/>
        </w:rPr>
        <w:t>більше</w:t>
      </w:r>
      <w:r w:rsidR="00872825" w:rsidRPr="0048317A">
        <w:rPr>
          <w:sz w:val="28"/>
          <w:szCs w:val="28"/>
          <w:lang w:val="uk-UA"/>
        </w:rPr>
        <w:t>,</w:t>
      </w:r>
      <w:r w:rsidRPr="0048317A">
        <w:rPr>
          <w:sz w:val="28"/>
          <w:szCs w:val="28"/>
          <w:lang w:val="uk-UA"/>
        </w:rPr>
        <w:t xml:space="preserve"> ніж на відповідну дату минулого року.</w:t>
      </w:r>
      <w:r w:rsidRPr="004106A4">
        <w:rPr>
          <w:sz w:val="28"/>
          <w:szCs w:val="28"/>
          <w:lang w:val="uk-UA"/>
        </w:rPr>
        <w:t xml:space="preserve"> </w:t>
      </w:r>
    </w:p>
    <w:p w:rsidR="00285AEF" w:rsidRPr="007A57F3" w:rsidRDefault="00285AEF" w:rsidP="00285AEF">
      <w:pPr>
        <w:spacing w:line="336" w:lineRule="auto"/>
        <w:ind w:left="-851" w:firstLine="283"/>
        <w:jc w:val="both"/>
        <w:rPr>
          <w:sz w:val="28"/>
          <w:szCs w:val="28"/>
          <w:lang w:val="uk-UA"/>
        </w:rPr>
      </w:pPr>
    </w:p>
    <w:p w:rsidR="004000E0" w:rsidRPr="00A60045" w:rsidRDefault="004000E0" w:rsidP="00E7653B">
      <w:pPr>
        <w:ind w:right="-567" w:hanging="1134"/>
        <w:rPr>
          <w:lang w:val="uk-UA"/>
        </w:rPr>
      </w:pPr>
    </w:p>
    <w:sectPr w:rsidR="004000E0" w:rsidRPr="00A60045" w:rsidSect="00285AEF">
      <w:pgSz w:w="11906" w:h="16838"/>
      <w:pgMar w:top="850" w:right="282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0FA4"/>
    <w:rsid w:val="0000070B"/>
    <w:rsid w:val="00000C6A"/>
    <w:rsid w:val="0000255C"/>
    <w:rsid w:val="000062EC"/>
    <w:rsid w:val="00012785"/>
    <w:rsid w:val="00012EDA"/>
    <w:rsid w:val="00024900"/>
    <w:rsid w:val="00025BFC"/>
    <w:rsid w:val="0003297D"/>
    <w:rsid w:val="00032DF7"/>
    <w:rsid w:val="0003433F"/>
    <w:rsid w:val="00041C49"/>
    <w:rsid w:val="00045D10"/>
    <w:rsid w:val="00046B30"/>
    <w:rsid w:val="0004741C"/>
    <w:rsid w:val="00051B40"/>
    <w:rsid w:val="000557B4"/>
    <w:rsid w:val="000573C4"/>
    <w:rsid w:val="00062AD2"/>
    <w:rsid w:val="00064E6D"/>
    <w:rsid w:val="00073163"/>
    <w:rsid w:val="00082130"/>
    <w:rsid w:val="00082F81"/>
    <w:rsid w:val="00084020"/>
    <w:rsid w:val="00090F22"/>
    <w:rsid w:val="000955FE"/>
    <w:rsid w:val="00095710"/>
    <w:rsid w:val="000957DC"/>
    <w:rsid w:val="000961D8"/>
    <w:rsid w:val="00097553"/>
    <w:rsid w:val="000A15A4"/>
    <w:rsid w:val="000A3D8D"/>
    <w:rsid w:val="000B4ACC"/>
    <w:rsid w:val="000C2ABF"/>
    <w:rsid w:val="000C5767"/>
    <w:rsid w:val="000C57D4"/>
    <w:rsid w:val="000C5B60"/>
    <w:rsid w:val="000D055C"/>
    <w:rsid w:val="000D231F"/>
    <w:rsid w:val="000D2EED"/>
    <w:rsid w:val="000D4C58"/>
    <w:rsid w:val="000D5156"/>
    <w:rsid w:val="000D76F6"/>
    <w:rsid w:val="000E04B5"/>
    <w:rsid w:val="000E0E47"/>
    <w:rsid w:val="000E1A3E"/>
    <w:rsid w:val="000E418A"/>
    <w:rsid w:val="000E4B5B"/>
    <w:rsid w:val="000E6608"/>
    <w:rsid w:val="000E7C5D"/>
    <w:rsid w:val="000E7F31"/>
    <w:rsid w:val="000F4090"/>
    <w:rsid w:val="000F5F1D"/>
    <w:rsid w:val="000F67B7"/>
    <w:rsid w:val="000F7847"/>
    <w:rsid w:val="00100686"/>
    <w:rsid w:val="0010335C"/>
    <w:rsid w:val="00104161"/>
    <w:rsid w:val="0010433E"/>
    <w:rsid w:val="001076FA"/>
    <w:rsid w:val="00107CCC"/>
    <w:rsid w:val="00113876"/>
    <w:rsid w:val="001152A8"/>
    <w:rsid w:val="00125B52"/>
    <w:rsid w:val="0012715E"/>
    <w:rsid w:val="00137373"/>
    <w:rsid w:val="001435FC"/>
    <w:rsid w:val="00145F3E"/>
    <w:rsid w:val="00150175"/>
    <w:rsid w:val="00152A4D"/>
    <w:rsid w:val="001574F1"/>
    <w:rsid w:val="00164B85"/>
    <w:rsid w:val="00165199"/>
    <w:rsid w:val="0016615C"/>
    <w:rsid w:val="00167CB8"/>
    <w:rsid w:val="0017192F"/>
    <w:rsid w:val="00177F1B"/>
    <w:rsid w:val="00180865"/>
    <w:rsid w:val="00181C42"/>
    <w:rsid w:val="0018270C"/>
    <w:rsid w:val="00185EFE"/>
    <w:rsid w:val="001863D1"/>
    <w:rsid w:val="001871DE"/>
    <w:rsid w:val="0019010A"/>
    <w:rsid w:val="001913E1"/>
    <w:rsid w:val="001A0C84"/>
    <w:rsid w:val="001A449E"/>
    <w:rsid w:val="001A6C82"/>
    <w:rsid w:val="001B43FB"/>
    <w:rsid w:val="001B5246"/>
    <w:rsid w:val="001C0985"/>
    <w:rsid w:val="001C193A"/>
    <w:rsid w:val="001C59CF"/>
    <w:rsid w:val="001D7AE8"/>
    <w:rsid w:val="001E333B"/>
    <w:rsid w:val="001E3B99"/>
    <w:rsid w:val="001E5BE8"/>
    <w:rsid w:val="001E64F3"/>
    <w:rsid w:val="001F3DFF"/>
    <w:rsid w:val="001F5338"/>
    <w:rsid w:val="001F56A6"/>
    <w:rsid w:val="001F6335"/>
    <w:rsid w:val="00200102"/>
    <w:rsid w:val="002001B8"/>
    <w:rsid w:val="00200686"/>
    <w:rsid w:val="00201F60"/>
    <w:rsid w:val="0020269A"/>
    <w:rsid w:val="00204617"/>
    <w:rsid w:val="002059BD"/>
    <w:rsid w:val="00212301"/>
    <w:rsid w:val="00220293"/>
    <w:rsid w:val="00221BA2"/>
    <w:rsid w:val="00223A22"/>
    <w:rsid w:val="00226B94"/>
    <w:rsid w:val="00227C0C"/>
    <w:rsid w:val="00231B0E"/>
    <w:rsid w:val="00233005"/>
    <w:rsid w:val="00234CEC"/>
    <w:rsid w:val="00235610"/>
    <w:rsid w:val="00240898"/>
    <w:rsid w:val="00241710"/>
    <w:rsid w:val="002432D2"/>
    <w:rsid w:val="00251793"/>
    <w:rsid w:val="00253641"/>
    <w:rsid w:val="00253D41"/>
    <w:rsid w:val="00254367"/>
    <w:rsid w:val="00257A1D"/>
    <w:rsid w:val="00261964"/>
    <w:rsid w:val="002628F5"/>
    <w:rsid w:val="00263134"/>
    <w:rsid w:val="00265519"/>
    <w:rsid w:val="002658AB"/>
    <w:rsid w:val="002718DC"/>
    <w:rsid w:val="00271A70"/>
    <w:rsid w:val="00273190"/>
    <w:rsid w:val="00277DF2"/>
    <w:rsid w:val="002827BE"/>
    <w:rsid w:val="0028307C"/>
    <w:rsid w:val="00285AEF"/>
    <w:rsid w:val="00290CD2"/>
    <w:rsid w:val="00291B47"/>
    <w:rsid w:val="00294290"/>
    <w:rsid w:val="0029532A"/>
    <w:rsid w:val="002A3FAA"/>
    <w:rsid w:val="002A51D8"/>
    <w:rsid w:val="002A7978"/>
    <w:rsid w:val="002B0415"/>
    <w:rsid w:val="002B30C4"/>
    <w:rsid w:val="002B667E"/>
    <w:rsid w:val="002C11B8"/>
    <w:rsid w:val="002C67AE"/>
    <w:rsid w:val="002D7032"/>
    <w:rsid w:val="002D7333"/>
    <w:rsid w:val="002E03DE"/>
    <w:rsid w:val="002E18EA"/>
    <w:rsid w:val="002E5020"/>
    <w:rsid w:val="002E71FA"/>
    <w:rsid w:val="002E7934"/>
    <w:rsid w:val="002F3B86"/>
    <w:rsid w:val="002F781A"/>
    <w:rsid w:val="002F7DC5"/>
    <w:rsid w:val="00302A19"/>
    <w:rsid w:val="00302DCB"/>
    <w:rsid w:val="00304A04"/>
    <w:rsid w:val="00306978"/>
    <w:rsid w:val="00307200"/>
    <w:rsid w:val="00311493"/>
    <w:rsid w:val="00315BEB"/>
    <w:rsid w:val="00316B2C"/>
    <w:rsid w:val="00317D1F"/>
    <w:rsid w:val="0032073C"/>
    <w:rsid w:val="003233BE"/>
    <w:rsid w:val="00325E4F"/>
    <w:rsid w:val="0032625C"/>
    <w:rsid w:val="00336BC8"/>
    <w:rsid w:val="00341FE5"/>
    <w:rsid w:val="00345CBB"/>
    <w:rsid w:val="003501F2"/>
    <w:rsid w:val="0035236F"/>
    <w:rsid w:val="00355E69"/>
    <w:rsid w:val="00362855"/>
    <w:rsid w:val="00363BAC"/>
    <w:rsid w:val="0036495B"/>
    <w:rsid w:val="00364F9A"/>
    <w:rsid w:val="003715EF"/>
    <w:rsid w:val="00374DE6"/>
    <w:rsid w:val="003778AB"/>
    <w:rsid w:val="00382F1F"/>
    <w:rsid w:val="00382F45"/>
    <w:rsid w:val="00383634"/>
    <w:rsid w:val="00392241"/>
    <w:rsid w:val="00393AD5"/>
    <w:rsid w:val="00395309"/>
    <w:rsid w:val="003A2AFF"/>
    <w:rsid w:val="003A339E"/>
    <w:rsid w:val="003A3C49"/>
    <w:rsid w:val="003A3C7C"/>
    <w:rsid w:val="003A59D7"/>
    <w:rsid w:val="003C4FD5"/>
    <w:rsid w:val="003C68C6"/>
    <w:rsid w:val="003C7DD2"/>
    <w:rsid w:val="003D1738"/>
    <w:rsid w:val="003D4BDC"/>
    <w:rsid w:val="003E18E4"/>
    <w:rsid w:val="003E6482"/>
    <w:rsid w:val="003E7E94"/>
    <w:rsid w:val="003F0E0A"/>
    <w:rsid w:val="003F122C"/>
    <w:rsid w:val="003F2921"/>
    <w:rsid w:val="003F3691"/>
    <w:rsid w:val="003F3D3E"/>
    <w:rsid w:val="003F5DE0"/>
    <w:rsid w:val="004000E0"/>
    <w:rsid w:val="0040403E"/>
    <w:rsid w:val="00406ACE"/>
    <w:rsid w:val="004102F9"/>
    <w:rsid w:val="004106A4"/>
    <w:rsid w:val="004115AE"/>
    <w:rsid w:val="0041657C"/>
    <w:rsid w:val="0042088A"/>
    <w:rsid w:val="00422EDE"/>
    <w:rsid w:val="00424B45"/>
    <w:rsid w:val="00425AB3"/>
    <w:rsid w:val="004329D9"/>
    <w:rsid w:val="004331E3"/>
    <w:rsid w:val="004340B3"/>
    <w:rsid w:val="004344D6"/>
    <w:rsid w:val="00437322"/>
    <w:rsid w:val="00440B45"/>
    <w:rsid w:val="00441AEB"/>
    <w:rsid w:val="00441D31"/>
    <w:rsid w:val="00445650"/>
    <w:rsid w:val="0044644F"/>
    <w:rsid w:val="00446593"/>
    <w:rsid w:val="00446CD8"/>
    <w:rsid w:val="00453849"/>
    <w:rsid w:val="004563AA"/>
    <w:rsid w:val="004574F6"/>
    <w:rsid w:val="0046189B"/>
    <w:rsid w:val="00463F63"/>
    <w:rsid w:val="0046592C"/>
    <w:rsid w:val="0046601F"/>
    <w:rsid w:val="004675C2"/>
    <w:rsid w:val="00470D23"/>
    <w:rsid w:val="0047114E"/>
    <w:rsid w:val="00472D03"/>
    <w:rsid w:val="004769B8"/>
    <w:rsid w:val="00477B25"/>
    <w:rsid w:val="00480755"/>
    <w:rsid w:val="00480E0E"/>
    <w:rsid w:val="0048317A"/>
    <w:rsid w:val="00484CC3"/>
    <w:rsid w:val="00484E44"/>
    <w:rsid w:val="00492046"/>
    <w:rsid w:val="00494BBC"/>
    <w:rsid w:val="004A25FF"/>
    <w:rsid w:val="004B0023"/>
    <w:rsid w:val="004B0E6E"/>
    <w:rsid w:val="004B332C"/>
    <w:rsid w:val="004B3842"/>
    <w:rsid w:val="004B4021"/>
    <w:rsid w:val="004B5A0A"/>
    <w:rsid w:val="004B64D2"/>
    <w:rsid w:val="004C57CB"/>
    <w:rsid w:val="004D0FE9"/>
    <w:rsid w:val="004D3876"/>
    <w:rsid w:val="004D4439"/>
    <w:rsid w:val="004D4519"/>
    <w:rsid w:val="004D6FE0"/>
    <w:rsid w:val="004E094B"/>
    <w:rsid w:val="004E13DF"/>
    <w:rsid w:val="004E2750"/>
    <w:rsid w:val="004E32D0"/>
    <w:rsid w:val="004E3DD5"/>
    <w:rsid w:val="004E6025"/>
    <w:rsid w:val="004E71CC"/>
    <w:rsid w:val="004F2623"/>
    <w:rsid w:val="004F28E5"/>
    <w:rsid w:val="004F3811"/>
    <w:rsid w:val="004F5132"/>
    <w:rsid w:val="004F5C18"/>
    <w:rsid w:val="005006F8"/>
    <w:rsid w:val="00501119"/>
    <w:rsid w:val="00502460"/>
    <w:rsid w:val="00505834"/>
    <w:rsid w:val="005079F7"/>
    <w:rsid w:val="00515AB1"/>
    <w:rsid w:val="00523C50"/>
    <w:rsid w:val="00524006"/>
    <w:rsid w:val="005253E0"/>
    <w:rsid w:val="00532CBA"/>
    <w:rsid w:val="005372C1"/>
    <w:rsid w:val="005427C1"/>
    <w:rsid w:val="005436FD"/>
    <w:rsid w:val="005449C9"/>
    <w:rsid w:val="00550A16"/>
    <w:rsid w:val="00550F43"/>
    <w:rsid w:val="00552A6A"/>
    <w:rsid w:val="00552FEE"/>
    <w:rsid w:val="00553A59"/>
    <w:rsid w:val="00557958"/>
    <w:rsid w:val="00560C80"/>
    <w:rsid w:val="0057091E"/>
    <w:rsid w:val="00571E13"/>
    <w:rsid w:val="00573967"/>
    <w:rsid w:val="00574571"/>
    <w:rsid w:val="00577E2B"/>
    <w:rsid w:val="0058226E"/>
    <w:rsid w:val="0059149A"/>
    <w:rsid w:val="00593FB7"/>
    <w:rsid w:val="00595C86"/>
    <w:rsid w:val="00596549"/>
    <w:rsid w:val="00597E9E"/>
    <w:rsid w:val="005A47A3"/>
    <w:rsid w:val="005B0F97"/>
    <w:rsid w:val="005B3435"/>
    <w:rsid w:val="005C03EE"/>
    <w:rsid w:val="005C3BE5"/>
    <w:rsid w:val="005C7EB5"/>
    <w:rsid w:val="005D3159"/>
    <w:rsid w:val="005E0009"/>
    <w:rsid w:val="005E6034"/>
    <w:rsid w:val="005E6355"/>
    <w:rsid w:val="005F79DE"/>
    <w:rsid w:val="00600539"/>
    <w:rsid w:val="006013D6"/>
    <w:rsid w:val="006033CA"/>
    <w:rsid w:val="006033F4"/>
    <w:rsid w:val="006044EE"/>
    <w:rsid w:val="0060469C"/>
    <w:rsid w:val="00605436"/>
    <w:rsid w:val="00606F5A"/>
    <w:rsid w:val="00614B62"/>
    <w:rsid w:val="0062112A"/>
    <w:rsid w:val="00621952"/>
    <w:rsid w:val="00621E0D"/>
    <w:rsid w:val="006222C1"/>
    <w:rsid w:val="00623F1F"/>
    <w:rsid w:val="006252D2"/>
    <w:rsid w:val="00625D99"/>
    <w:rsid w:val="00631024"/>
    <w:rsid w:val="00632CA8"/>
    <w:rsid w:val="00635904"/>
    <w:rsid w:val="00637658"/>
    <w:rsid w:val="0064033A"/>
    <w:rsid w:val="00640997"/>
    <w:rsid w:val="00640BC5"/>
    <w:rsid w:val="006434D8"/>
    <w:rsid w:val="00644896"/>
    <w:rsid w:val="00645C88"/>
    <w:rsid w:val="00652086"/>
    <w:rsid w:val="006520DF"/>
    <w:rsid w:val="00654893"/>
    <w:rsid w:val="006560A5"/>
    <w:rsid w:val="00656CFE"/>
    <w:rsid w:val="00656D6A"/>
    <w:rsid w:val="00657343"/>
    <w:rsid w:val="00662B73"/>
    <w:rsid w:val="00663368"/>
    <w:rsid w:val="006650C2"/>
    <w:rsid w:val="006665FF"/>
    <w:rsid w:val="0067217D"/>
    <w:rsid w:val="0067219E"/>
    <w:rsid w:val="00674C6B"/>
    <w:rsid w:val="00675BB6"/>
    <w:rsid w:val="006761AC"/>
    <w:rsid w:val="006813DB"/>
    <w:rsid w:val="006834B5"/>
    <w:rsid w:val="006871DB"/>
    <w:rsid w:val="00687B3D"/>
    <w:rsid w:val="00690180"/>
    <w:rsid w:val="00692CAA"/>
    <w:rsid w:val="006A2E8C"/>
    <w:rsid w:val="006A42F6"/>
    <w:rsid w:val="006A6905"/>
    <w:rsid w:val="006B2222"/>
    <w:rsid w:val="006B244E"/>
    <w:rsid w:val="006C56BD"/>
    <w:rsid w:val="006C60E1"/>
    <w:rsid w:val="006C66C7"/>
    <w:rsid w:val="006C70EA"/>
    <w:rsid w:val="006D3256"/>
    <w:rsid w:val="006E745F"/>
    <w:rsid w:val="006F1832"/>
    <w:rsid w:val="006F1F45"/>
    <w:rsid w:val="006F2226"/>
    <w:rsid w:val="006F2332"/>
    <w:rsid w:val="006F603E"/>
    <w:rsid w:val="00704DE9"/>
    <w:rsid w:val="007062F5"/>
    <w:rsid w:val="0071058A"/>
    <w:rsid w:val="00711583"/>
    <w:rsid w:val="00712331"/>
    <w:rsid w:val="00712FB0"/>
    <w:rsid w:val="007156A3"/>
    <w:rsid w:val="00720E06"/>
    <w:rsid w:val="00722F23"/>
    <w:rsid w:val="007242C9"/>
    <w:rsid w:val="0072779C"/>
    <w:rsid w:val="00732AA3"/>
    <w:rsid w:val="00735123"/>
    <w:rsid w:val="0073523D"/>
    <w:rsid w:val="0073742E"/>
    <w:rsid w:val="00740102"/>
    <w:rsid w:val="00743458"/>
    <w:rsid w:val="007454A6"/>
    <w:rsid w:val="00745EF3"/>
    <w:rsid w:val="00751FC6"/>
    <w:rsid w:val="00752210"/>
    <w:rsid w:val="00752B1F"/>
    <w:rsid w:val="0075373A"/>
    <w:rsid w:val="00754919"/>
    <w:rsid w:val="00754D3B"/>
    <w:rsid w:val="00757110"/>
    <w:rsid w:val="0076281A"/>
    <w:rsid w:val="00765B97"/>
    <w:rsid w:val="007709CF"/>
    <w:rsid w:val="00774168"/>
    <w:rsid w:val="007826FB"/>
    <w:rsid w:val="0078375C"/>
    <w:rsid w:val="007859E9"/>
    <w:rsid w:val="00786B96"/>
    <w:rsid w:val="00787149"/>
    <w:rsid w:val="0079135B"/>
    <w:rsid w:val="007B0320"/>
    <w:rsid w:val="007B2770"/>
    <w:rsid w:val="007B325A"/>
    <w:rsid w:val="007B4243"/>
    <w:rsid w:val="007B467D"/>
    <w:rsid w:val="007B6278"/>
    <w:rsid w:val="007B7461"/>
    <w:rsid w:val="007C0332"/>
    <w:rsid w:val="007C471B"/>
    <w:rsid w:val="007C67F2"/>
    <w:rsid w:val="007D19C8"/>
    <w:rsid w:val="007D34DC"/>
    <w:rsid w:val="007D5A9C"/>
    <w:rsid w:val="007D78B4"/>
    <w:rsid w:val="007E63C4"/>
    <w:rsid w:val="007E6785"/>
    <w:rsid w:val="007E686B"/>
    <w:rsid w:val="007F0D44"/>
    <w:rsid w:val="007F4ED0"/>
    <w:rsid w:val="007F68D9"/>
    <w:rsid w:val="007F7526"/>
    <w:rsid w:val="00802AFB"/>
    <w:rsid w:val="00803B44"/>
    <w:rsid w:val="00812C7C"/>
    <w:rsid w:val="00813174"/>
    <w:rsid w:val="00814AEB"/>
    <w:rsid w:val="008164F3"/>
    <w:rsid w:val="008167D4"/>
    <w:rsid w:val="008179AC"/>
    <w:rsid w:val="008200E7"/>
    <w:rsid w:val="00820447"/>
    <w:rsid w:val="008205CC"/>
    <w:rsid w:val="0082415C"/>
    <w:rsid w:val="00826189"/>
    <w:rsid w:val="0082761D"/>
    <w:rsid w:val="00827CEA"/>
    <w:rsid w:val="00827EFE"/>
    <w:rsid w:val="00832CED"/>
    <w:rsid w:val="00840A89"/>
    <w:rsid w:val="00841A68"/>
    <w:rsid w:val="00841E48"/>
    <w:rsid w:val="00843362"/>
    <w:rsid w:val="00844C0F"/>
    <w:rsid w:val="0085007E"/>
    <w:rsid w:val="00852A5E"/>
    <w:rsid w:val="00856012"/>
    <w:rsid w:val="008608F0"/>
    <w:rsid w:val="00861F42"/>
    <w:rsid w:val="00866C00"/>
    <w:rsid w:val="008720E5"/>
    <w:rsid w:val="008722C7"/>
    <w:rsid w:val="00872825"/>
    <w:rsid w:val="008867AD"/>
    <w:rsid w:val="0088762A"/>
    <w:rsid w:val="00896D6E"/>
    <w:rsid w:val="008A0128"/>
    <w:rsid w:val="008A28B9"/>
    <w:rsid w:val="008A4107"/>
    <w:rsid w:val="008A7DE2"/>
    <w:rsid w:val="008B4FA5"/>
    <w:rsid w:val="008B5E92"/>
    <w:rsid w:val="008B64B3"/>
    <w:rsid w:val="008B6847"/>
    <w:rsid w:val="008C00E2"/>
    <w:rsid w:val="008C1119"/>
    <w:rsid w:val="008C2258"/>
    <w:rsid w:val="008C4C2C"/>
    <w:rsid w:val="008C5EC0"/>
    <w:rsid w:val="008D0206"/>
    <w:rsid w:val="008D032B"/>
    <w:rsid w:val="008D11A7"/>
    <w:rsid w:val="008D4E9E"/>
    <w:rsid w:val="008D650A"/>
    <w:rsid w:val="008D65C4"/>
    <w:rsid w:val="008E021C"/>
    <w:rsid w:val="008E3AA6"/>
    <w:rsid w:val="008E5420"/>
    <w:rsid w:val="008E5D67"/>
    <w:rsid w:val="008E7CDF"/>
    <w:rsid w:val="008F1AA3"/>
    <w:rsid w:val="008F3B45"/>
    <w:rsid w:val="008F3CA5"/>
    <w:rsid w:val="008F4028"/>
    <w:rsid w:val="008F476C"/>
    <w:rsid w:val="008F5084"/>
    <w:rsid w:val="008F75B6"/>
    <w:rsid w:val="008F788F"/>
    <w:rsid w:val="00900AF7"/>
    <w:rsid w:val="00900B9D"/>
    <w:rsid w:val="00900DF8"/>
    <w:rsid w:val="00902491"/>
    <w:rsid w:val="009036C8"/>
    <w:rsid w:val="009107A1"/>
    <w:rsid w:val="00910AA2"/>
    <w:rsid w:val="009111FA"/>
    <w:rsid w:val="00911AEF"/>
    <w:rsid w:val="009143E5"/>
    <w:rsid w:val="00915EE9"/>
    <w:rsid w:val="00916C15"/>
    <w:rsid w:val="00921B7E"/>
    <w:rsid w:val="00922650"/>
    <w:rsid w:val="0092434C"/>
    <w:rsid w:val="00924AE2"/>
    <w:rsid w:val="00926E6C"/>
    <w:rsid w:val="0092777E"/>
    <w:rsid w:val="0093281C"/>
    <w:rsid w:val="00933541"/>
    <w:rsid w:val="009445B6"/>
    <w:rsid w:val="0094652B"/>
    <w:rsid w:val="0095063B"/>
    <w:rsid w:val="00950F38"/>
    <w:rsid w:val="00951CB9"/>
    <w:rsid w:val="00955007"/>
    <w:rsid w:val="00956AEE"/>
    <w:rsid w:val="009576A0"/>
    <w:rsid w:val="00960803"/>
    <w:rsid w:val="00960928"/>
    <w:rsid w:val="00960EBB"/>
    <w:rsid w:val="00961DBC"/>
    <w:rsid w:val="00962961"/>
    <w:rsid w:val="00963701"/>
    <w:rsid w:val="0096583D"/>
    <w:rsid w:val="00966813"/>
    <w:rsid w:val="0097081C"/>
    <w:rsid w:val="009718C2"/>
    <w:rsid w:val="0097407D"/>
    <w:rsid w:val="009743E3"/>
    <w:rsid w:val="0098012C"/>
    <w:rsid w:val="00981A67"/>
    <w:rsid w:val="00981CF9"/>
    <w:rsid w:val="00990196"/>
    <w:rsid w:val="00992AAB"/>
    <w:rsid w:val="009A05AB"/>
    <w:rsid w:val="009A21FE"/>
    <w:rsid w:val="009A312F"/>
    <w:rsid w:val="009A5787"/>
    <w:rsid w:val="009A5BF3"/>
    <w:rsid w:val="009A613A"/>
    <w:rsid w:val="009A6F3A"/>
    <w:rsid w:val="009B64AE"/>
    <w:rsid w:val="009C0C79"/>
    <w:rsid w:val="009D16E1"/>
    <w:rsid w:val="009D214E"/>
    <w:rsid w:val="009D54EF"/>
    <w:rsid w:val="009D5C3C"/>
    <w:rsid w:val="009D636A"/>
    <w:rsid w:val="009D6A88"/>
    <w:rsid w:val="009D6CF4"/>
    <w:rsid w:val="009E02F3"/>
    <w:rsid w:val="009F03D4"/>
    <w:rsid w:val="009F03E8"/>
    <w:rsid w:val="009F3E7A"/>
    <w:rsid w:val="009F3F87"/>
    <w:rsid w:val="009F4B80"/>
    <w:rsid w:val="009F7025"/>
    <w:rsid w:val="009F7583"/>
    <w:rsid w:val="00A03055"/>
    <w:rsid w:val="00A11736"/>
    <w:rsid w:val="00A119AC"/>
    <w:rsid w:val="00A12393"/>
    <w:rsid w:val="00A1632B"/>
    <w:rsid w:val="00A211CD"/>
    <w:rsid w:val="00A26A4E"/>
    <w:rsid w:val="00A3697E"/>
    <w:rsid w:val="00A3736B"/>
    <w:rsid w:val="00A43A74"/>
    <w:rsid w:val="00A44ACF"/>
    <w:rsid w:val="00A44E59"/>
    <w:rsid w:val="00A45FFB"/>
    <w:rsid w:val="00A4643C"/>
    <w:rsid w:val="00A4698B"/>
    <w:rsid w:val="00A502C5"/>
    <w:rsid w:val="00A517E3"/>
    <w:rsid w:val="00A526F8"/>
    <w:rsid w:val="00A52A1F"/>
    <w:rsid w:val="00A5379B"/>
    <w:rsid w:val="00A60045"/>
    <w:rsid w:val="00A6022A"/>
    <w:rsid w:val="00A60822"/>
    <w:rsid w:val="00A66329"/>
    <w:rsid w:val="00A74B77"/>
    <w:rsid w:val="00A75AF7"/>
    <w:rsid w:val="00A75DEA"/>
    <w:rsid w:val="00A768E4"/>
    <w:rsid w:val="00A76AA2"/>
    <w:rsid w:val="00A810AF"/>
    <w:rsid w:val="00A81602"/>
    <w:rsid w:val="00A82EFB"/>
    <w:rsid w:val="00A849C6"/>
    <w:rsid w:val="00A84DA7"/>
    <w:rsid w:val="00A87ACF"/>
    <w:rsid w:val="00A92729"/>
    <w:rsid w:val="00A9622D"/>
    <w:rsid w:val="00A96389"/>
    <w:rsid w:val="00AA2A45"/>
    <w:rsid w:val="00AA45FA"/>
    <w:rsid w:val="00AA5B9E"/>
    <w:rsid w:val="00AA6E4B"/>
    <w:rsid w:val="00AB1C02"/>
    <w:rsid w:val="00AB2CE1"/>
    <w:rsid w:val="00AB5B07"/>
    <w:rsid w:val="00AC2D38"/>
    <w:rsid w:val="00AC6A41"/>
    <w:rsid w:val="00AD140E"/>
    <w:rsid w:val="00AD6A17"/>
    <w:rsid w:val="00AE0018"/>
    <w:rsid w:val="00AE410E"/>
    <w:rsid w:val="00AE547A"/>
    <w:rsid w:val="00AF0129"/>
    <w:rsid w:val="00AF0EBA"/>
    <w:rsid w:val="00AF449D"/>
    <w:rsid w:val="00AF6654"/>
    <w:rsid w:val="00AF6F79"/>
    <w:rsid w:val="00B01526"/>
    <w:rsid w:val="00B13CFA"/>
    <w:rsid w:val="00B20AE7"/>
    <w:rsid w:val="00B2276B"/>
    <w:rsid w:val="00B227A7"/>
    <w:rsid w:val="00B23EE5"/>
    <w:rsid w:val="00B318C6"/>
    <w:rsid w:val="00B31EE6"/>
    <w:rsid w:val="00B33458"/>
    <w:rsid w:val="00B45496"/>
    <w:rsid w:val="00B45711"/>
    <w:rsid w:val="00B505ED"/>
    <w:rsid w:val="00B5288D"/>
    <w:rsid w:val="00B545BE"/>
    <w:rsid w:val="00B552E6"/>
    <w:rsid w:val="00B55428"/>
    <w:rsid w:val="00B56FF1"/>
    <w:rsid w:val="00B61F30"/>
    <w:rsid w:val="00B64C83"/>
    <w:rsid w:val="00B66758"/>
    <w:rsid w:val="00B773ED"/>
    <w:rsid w:val="00B83325"/>
    <w:rsid w:val="00B861C4"/>
    <w:rsid w:val="00B87FF7"/>
    <w:rsid w:val="00B903D9"/>
    <w:rsid w:val="00B9077D"/>
    <w:rsid w:val="00B97287"/>
    <w:rsid w:val="00BA13D0"/>
    <w:rsid w:val="00BA23F8"/>
    <w:rsid w:val="00BA3511"/>
    <w:rsid w:val="00BA3978"/>
    <w:rsid w:val="00BA49AA"/>
    <w:rsid w:val="00BA6883"/>
    <w:rsid w:val="00BB117A"/>
    <w:rsid w:val="00BB5B48"/>
    <w:rsid w:val="00BC1204"/>
    <w:rsid w:val="00BC4A16"/>
    <w:rsid w:val="00BC515E"/>
    <w:rsid w:val="00BC6979"/>
    <w:rsid w:val="00BC794E"/>
    <w:rsid w:val="00BC7F0C"/>
    <w:rsid w:val="00BE29C1"/>
    <w:rsid w:val="00BE7260"/>
    <w:rsid w:val="00BF11DD"/>
    <w:rsid w:val="00BF392A"/>
    <w:rsid w:val="00BF3F9E"/>
    <w:rsid w:val="00BF5850"/>
    <w:rsid w:val="00BF5C37"/>
    <w:rsid w:val="00C00D13"/>
    <w:rsid w:val="00C052D2"/>
    <w:rsid w:val="00C05604"/>
    <w:rsid w:val="00C12AB9"/>
    <w:rsid w:val="00C2085F"/>
    <w:rsid w:val="00C20A3C"/>
    <w:rsid w:val="00C237AA"/>
    <w:rsid w:val="00C32EC5"/>
    <w:rsid w:val="00C33B64"/>
    <w:rsid w:val="00C35564"/>
    <w:rsid w:val="00C3619C"/>
    <w:rsid w:val="00C41F39"/>
    <w:rsid w:val="00C44EFE"/>
    <w:rsid w:val="00C468B6"/>
    <w:rsid w:val="00C46BC0"/>
    <w:rsid w:val="00C50F1C"/>
    <w:rsid w:val="00C51055"/>
    <w:rsid w:val="00C5156D"/>
    <w:rsid w:val="00C53051"/>
    <w:rsid w:val="00C54329"/>
    <w:rsid w:val="00C548B6"/>
    <w:rsid w:val="00C548C7"/>
    <w:rsid w:val="00C60EE8"/>
    <w:rsid w:val="00C63328"/>
    <w:rsid w:val="00C64169"/>
    <w:rsid w:val="00C66F98"/>
    <w:rsid w:val="00C74444"/>
    <w:rsid w:val="00C8313D"/>
    <w:rsid w:val="00C84550"/>
    <w:rsid w:val="00C84FDC"/>
    <w:rsid w:val="00C913C2"/>
    <w:rsid w:val="00CA3D32"/>
    <w:rsid w:val="00CA6EA4"/>
    <w:rsid w:val="00CA72B3"/>
    <w:rsid w:val="00CB2FE9"/>
    <w:rsid w:val="00CB4A25"/>
    <w:rsid w:val="00CC04A5"/>
    <w:rsid w:val="00CC42D2"/>
    <w:rsid w:val="00CC558F"/>
    <w:rsid w:val="00CC5659"/>
    <w:rsid w:val="00CD00CC"/>
    <w:rsid w:val="00CD186C"/>
    <w:rsid w:val="00CD1DB1"/>
    <w:rsid w:val="00CD242A"/>
    <w:rsid w:val="00CD2E8E"/>
    <w:rsid w:val="00CD5EDE"/>
    <w:rsid w:val="00CD61E5"/>
    <w:rsid w:val="00CE31E9"/>
    <w:rsid w:val="00CE6CF3"/>
    <w:rsid w:val="00CF32A4"/>
    <w:rsid w:val="00CF50BF"/>
    <w:rsid w:val="00CF534F"/>
    <w:rsid w:val="00CF63E6"/>
    <w:rsid w:val="00D011FA"/>
    <w:rsid w:val="00D0213E"/>
    <w:rsid w:val="00D02A62"/>
    <w:rsid w:val="00D03B1B"/>
    <w:rsid w:val="00D07108"/>
    <w:rsid w:val="00D07B73"/>
    <w:rsid w:val="00D10D48"/>
    <w:rsid w:val="00D10DF9"/>
    <w:rsid w:val="00D10EA3"/>
    <w:rsid w:val="00D16F65"/>
    <w:rsid w:val="00D2241D"/>
    <w:rsid w:val="00D263B0"/>
    <w:rsid w:val="00D26DC5"/>
    <w:rsid w:val="00D27EDD"/>
    <w:rsid w:val="00D3109D"/>
    <w:rsid w:val="00D316D6"/>
    <w:rsid w:val="00D373A3"/>
    <w:rsid w:val="00D408C4"/>
    <w:rsid w:val="00D41CF7"/>
    <w:rsid w:val="00D43890"/>
    <w:rsid w:val="00D43A19"/>
    <w:rsid w:val="00D445C7"/>
    <w:rsid w:val="00D50004"/>
    <w:rsid w:val="00D508B3"/>
    <w:rsid w:val="00D5413C"/>
    <w:rsid w:val="00D55942"/>
    <w:rsid w:val="00D5594F"/>
    <w:rsid w:val="00D60FA4"/>
    <w:rsid w:val="00D627EF"/>
    <w:rsid w:val="00D637D7"/>
    <w:rsid w:val="00D646E1"/>
    <w:rsid w:val="00D648FB"/>
    <w:rsid w:val="00D64C3C"/>
    <w:rsid w:val="00D7124F"/>
    <w:rsid w:val="00D71ACB"/>
    <w:rsid w:val="00D71F22"/>
    <w:rsid w:val="00D72F04"/>
    <w:rsid w:val="00D739BE"/>
    <w:rsid w:val="00D73C82"/>
    <w:rsid w:val="00D84AF2"/>
    <w:rsid w:val="00D865B4"/>
    <w:rsid w:val="00D91A9A"/>
    <w:rsid w:val="00D94CB6"/>
    <w:rsid w:val="00DA09B4"/>
    <w:rsid w:val="00DA192A"/>
    <w:rsid w:val="00DA4ABA"/>
    <w:rsid w:val="00DB3E41"/>
    <w:rsid w:val="00DB6654"/>
    <w:rsid w:val="00DC2B3F"/>
    <w:rsid w:val="00DC684E"/>
    <w:rsid w:val="00DD3055"/>
    <w:rsid w:val="00DD4DF7"/>
    <w:rsid w:val="00DD537B"/>
    <w:rsid w:val="00DD7503"/>
    <w:rsid w:val="00DE0307"/>
    <w:rsid w:val="00DE5229"/>
    <w:rsid w:val="00DE66AD"/>
    <w:rsid w:val="00DE79FF"/>
    <w:rsid w:val="00E0095F"/>
    <w:rsid w:val="00E02192"/>
    <w:rsid w:val="00E03CFF"/>
    <w:rsid w:val="00E12087"/>
    <w:rsid w:val="00E126AD"/>
    <w:rsid w:val="00E14702"/>
    <w:rsid w:val="00E16352"/>
    <w:rsid w:val="00E22802"/>
    <w:rsid w:val="00E25F4E"/>
    <w:rsid w:val="00E26D99"/>
    <w:rsid w:val="00E276CC"/>
    <w:rsid w:val="00E374A5"/>
    <w:rsid w:val="00E45334"/>
    <w:rsid w:val="00E4657A"/>
    <w:rsid w:val="00E57166"/>
    <w:rsid w:val="00E62EB2"/>
    <w:rsid w:val="00E635DC"/>
    <w:rsid w:val="00E643D1"/>
    <w:rsid w:val="00E66A4B"/>
    <w:rsid w:val="00E67816"/>
    <w:rsid w:val="00E7532E"/>
    <w:rsid w:val="00E7653B"/>
    <w:rsid w:val="00E82F78"/>
    <w:rsid w:val="00E87A98"/>
    <w:rsid w:val="00E87D17"/>
    <w:rsid w:val="00E91F37"/>
    <w:rsid w:val="00EA489E"/>
    <w:rsid w:val="00EA7F8A"/>
    <w:rsid w:val="00EB3113"/>
    <w:rsid w:val="00EB6A4D"/>
    <w:rsid w:val="00EB6B3E"/>
    <w:rsid w:val="00EC0C4E"/>
    <w:rsid w:val="00EC6F40"/>
    <w:rsid w:val="00EC7353"/>
    <w:rsid w:val="00EC7896"/>
    <w:rsid w:val="00ED0466"/>
    <w:rsid w:val="00ED1BB4"/>
    <w:rsid w:val="00ED1E90"/>
    <w:rsid w:val="00ED2151"/>
    <w:rsid w:val="00ED2FD0"/>
    <w:rsid w:val="00ED5F33"/>
    <w:rsid w:val="00EE005F"/>
    <w:rsid w:val="00EE3856"/>
    <w:rsid w:val="00EE5009"/>
    <w:rsid w:val="00EE690B"/>
    <w:rsid w:val="00EE7BFE"/>
    <w:rsid w:val="00EE7F46"/>
    <w:rsid w:val="00EE7F60"/>
    <w:rsid w:val="00EF6EA2"/>
    <w:rsid w:val="00F00C2E"/>
    <w:rsid w:val="00F01F14"/>
    <w:rsid w:val="00F02397"/>
    <w:rsid w:val="00F0254F"/>
    <w:rsid w:val="00F02C06"/>
    <w:rsid w:val="00F0512C"/>
    <w:rsid w:val="00F06E92"/>
    <w:rsid w:val="00F124E8"/>
    <w:rsid w:val="00F14132"/>
    <w:rsid w:val="00F14418"/>
    <w:rsid w:val="00F25DEC"/>
    <w:rsid w:val="00F270A2"/>
    <w:rsid w:val="00F32FC1"/>
    <w:rsid w:val="00F35F17"/>
    <w:rsid w:val="00F3751E"/>
    <w:rsid w:val="00F44B61"/>
    <w:rsid w:val="00F44CFB"/>
    <w:rsid w:val="00F450EA"/>
    <w:rsid w:val="00F46186"/>
    <w:rsid w:val="00F50FDB"/>
    <w:rsid w:val="00F51935"/>
    <w:rsid w:val="00F5219C"/>
    <w:rsid w:val="00F52427"/>
    <w:rsid w:val="00F55D7E"/>
    <w:rsid w:val="00F56E9F"/>
    <w:rsid w:val="00F62960"/>
    <w:rsid w:val="00F6355E"/>
    <w:rsid w:val="00F658E8"/>
    <w:rsid w:val="00F677E2"/>
    <w:rsid w:val="00F7000D"/>
    <w:rsid w:val="00F70BF4"/>
    <w:rsid w:val="00F747CE"/>
    <w:rsid w:val="00F7692E"/>
    <w:rsid w:val="00F77956"/>
    <w:rsid w:val="00F8339D"/>
    <w:rsid w:val="00F8345A"/>
    <w:rsid w:val="00F83697"/>
    <w:rsid w:val="00F90622"/>
    <w:rsid w:val="00F93DF8"/>
    <w:rsid w:val="00F97F99"/>
    <w:rsid w:val="00FA1C5F"/>
    <w:rsid w:val="00FA7A4D"/>
    <w:rsid w:val="00FB12FC"/>
    <w:rsid w:val="00FB1561"/>
    <w:rsid w:val="00FB3CDA"/>
    <w:rsid w:val="00FB5CC5"/>
    <w:rsid w:val="00FC60F5"/>
    <w:rsid w:val="00FC6561"/>
    <w:rsid w:val="00FD0CA4"/>
    <w:rsid w:val="00FD1EB0"/>
    <w:rsid w:val="00FD238A"/>
    <w:rsid w:val="00FD784A"/>
    <w:rsid w:val="00FE385F"/>
    <w:rsid w:val="00FF06B6"/>
    <w:rsid w:val="00FF0F33"/>
    <w:rsid w:val="00FF39B8"/>
    <w:rsid w:val="00FF444A"/>
    <w:rsid w:val="00FF5592"/>
    <w:rsid w:val="00FF6473"/>
    <w:rsid w:val="00FF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FA4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60FA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285AEF"/>
    <w:pPr>
      <w:jc w:val="both"/>
    </w:pPr>
    <w:rPr>
      <w:sz w:val="28"/>
      <w:lang w:val="uk-UA"/>
    </w:rPr>
  </w:style>
  <w:style w:type="paragraph" w:styleId="a5">
    <w:name w:val="No Spacing"/>
    <w:uiPriority w:val="1"/>
    <w:qFormat/>
    <w:rsid w:val="00285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Indent 3"/>
    <w:basedOn w:val="a"/>
    <w:link w:val="30"/>
    <w:rsid w:val="00285AEF"/>
    <w:pPr>
      <w:ind w:left="1134"/>
      <w:jc w:val="both"/>
    </w:pPr>
    <w:rPr>
      <w:sz w:val="24"/>
      <w:lang w:val="uk-UA"/>
    </w:rPr>
  </w:style>
  <w:style w:type="character" w:customStyle="1" w:styleId="30">
    <w:name w:val="Основной текст с отступом 3 Знак"/>
    <w:basedOn w:val="a0"/>
    <w:link w:val="3"/>
    <w:rsid w:val="00285AE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title>
      <c:tx>
        <c:rich>
          <a:bodyPr/>
          <a:lstStyle/>
          <a:p>
            <a:pPr>
              <a:defRPr sz="1400"/>
            </a:pPr>
            <a:r>
              <a:rPr lang="uk-UA" sz="1400">
                <a:solidFill>
                  <a:srgbClr val="0066CC"/>
                </a:solidFill>
                <a:latin typeface="Times New Roman" pitchFamily="18" charset="0"/>
                <a:cs typeface="Times New Roman" pitchFamily="18" charset="0"/>
              </a:rPr>
              <a:t>Структура випускників ПТНЗ (%)</a:t>
            </a:r>
          </a:p>
        </c:rich>
      </c:tx>
    </c:title>
    <c:plotArea>
      <c:layout>
        <c:manualLayout>
          <c:layoutTarget val="inner"/>
          <c:xMode val="edge"/>
          <c:yMode val="edge"/>
          <c:x val="0.19079985337971889"/>
          <c:y val="0.27408212079800048"/>
          <c:w val="0.6016333587637086"/>
          <c:h val="0.63310711604177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 w="38100">
              <a:solidFill>
                <a:schemeClr val="bg1"/>
              </a:solidFill>
            </a:ln>
          </c:spPr>
          <c:dPt>
            <c:idx val="0"/>
            <c:spPr>
              <a:solidFill>
                <a:srgbClr val="0066CC"/>
              </a:solidFill>
              <a:ln w="38100">
                <a:solidFill>
                  <a:schemeClr val="bg1"/>
                </a:solidFill>
              </a:ln>
            </c:spPr>
          </c:dPt>
          <c:dPt>
            <c:idx val="1"/>
            <c:spPr>
              <a:solidFill>
                <a:srgbClr val="FF6699"/>
              </a:solidFill>
              <a:ln w="38100">
                <a:solidFill>
                  <a:schemeClr val="bg1"/>
                </a:solidFill>
              </a:ln>
            </c:spPr>
          </c:dPt>
          <c:dPt>
            <c:idx val="2"/>
            <c:spPr>
              <a:solidFill>
                <a:srgbClr val="00CC00"/>
              </a:solidFill>
              <a:ln w="38100">
                <a:solidFill>
                  <a:schemeClr val="bg1"/>
                </a:solidFill>
              </a:ln>
            </c:spPr>
          </c:dPt>
          <c:dPt>
            <c:idx val="3"/>
            <c:spPr>
              <a:solidFill>
                <a:srgbClr val="990099"/>
              </a:solidFill>
              <a:ln w="38100">
                <a:solidFill>
                  <a:schemeClr val="bg1"/>
                </a:solidFill>
              </a:ln>
            </c:spPr>
          </c:dPt>
          <c:dPt>
            <c:idx val="4"/>
            <c:spPr>
              <a:solidFill>
                <a:srgbClr val="FF6600"/>
              </a:solidFill>
              <a:ln w="38100">
                <a:solidFill>
                  <a:schemeClr val="bg1"/>
                </a:solidFill>
              </a:ln>
            </c:spPr>
          </c:dPt>
          <c:dLbls>
            <c:dLbl>
              <c:idx val="0"/>
              <c:layout>
                <c:manualLayout>
                  <c:x val="-3.532190769767529E-3"/>
                  <c:y val="-0.11497521678955419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Кваліфіковані робітники з інструментом</a:t>
                    </a:r>
                  </a:p>
                  <a:p>
                    <a:r>
                      <a:rPr lang="uk-UA" sz="1200">
                        <a:solidFill>
                          <a:srgbClr val="0070C0"/>
                        </a:solidFill>
                        <a:latin typeface="Arial Narrow" pitchFamily="34" charset="0"/>
                      </a:rPr>
                      <a:t>46%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1"/>
              <c:layout>
                <c:manualLayout>
                  <c:x val="0.25339169806821155"/>
                  <c:y val="3.8115459407962279E-2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Спеціалісти</a:t>
                    </a:r>
                  </a:p>
                  <a:p>
                    <a:r>
                      <a:rPr lang="uk-UA" sz="1200" b="1">
                        <a:solidFill>
                          <a:srgbClr val="FF6699"/>
                        </a:solidFill>
                        <a:latin typeface="Arial Narrow" pitchFamily="34" charset="0"/>
                      </a:rPr>
                      <a:t>9,3%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2"/>
              <c:layout>
                <c:manualLayout>
                  <c:x val="0"/>
                  <c:y val="0.21026154165656141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Працівники сфери торгівлі та послуг</a:t>
                    </a:r>
                  </a:p>
                  <a:p>
                    <a:r>
                      <a:rPr lang="uk-UA" sz="1200">
                        <a:solidFill>
                          <a:srgbClr val="33CC33"/>
                        </a:solidFill>
                        <a:latin typeface="Arial Narrow" pitchFamily="34" charset="0"/>
                      </a:rPr>
                      <a:t>33,2%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3"/>
              <c:layout>
                <c:manualLayout>
                  <c:x val="-0.18310035650368042"/>
                  <c:y val="8.9907939776726342E-2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Робітники з обслуговування устаткування та машин</a:t>
                    </a:r>
                  </a:p>
                  <a:p>
                    <a:r>
                      <a:rPr lang="uk-UA" sz="1200">
                        <a:solidFill>
                          <a:srgbClr val="990099"/>
                        </a:solidFill>
                        <a:latin typeface="Arial Narrow" pitchFamily="34" charset="0"/>
                      </a:rPr>
                      <a:t>11,1%</a:t>
                    </a:r>
                  </a:p>
                  <a:p>
                    <a:endParaRPr lang="uk-UA" sz="700"/>
                  </a:p>
                </c:rich>
              </c:tx>
              <c:dLblPos val="bestFit"/>
              <c:showVal val="1"/>
              <c:showCatName val="1"/>
            </c:dLbl>
            <c:dLbl>
              <c:idx val="4"/>
              <c:layout>
                <c:manualLayout>
                  <c:x val="0.26290628336356736"/>
                  <c:y val="5.9020783622894424E-2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Робітники сільського, лісового господарств та риборозведення </a:t>
                    </a:r>
                    <a:r>
                      <a:rPr lang="en-US" sz="1200">
                        <a:solidFill>
                          <a:srgbClr val="FF6600"/>
                        </a:solidFill>
                        <a:latin typeface="Arial Narrow" pitchFamily="34" charset="0"/>
                      </a:rPr>
                      <a:t>0</a:t>
                    </a:r>
                    <a:r>
                      <a:rPr lang="uk-UA" sz="1200">
                        <a:solidFill>
                          <a:srgbClr val="FF6600"/>
                        </a:solidFill>
                        <a:latin typeface="Arial Narrow" pitchFamily="34" charset="0"/>
                      </a:rPr>
                      <a:t>,4%</a:t>
                    </a:r>
                  </a:p>
                </c:rich>
              </c:tx>
              <c:dLblPos val="bestFit"/>
              <c:showVal val="1"/>
              <c:showCatName val="1"/>
            </c:dLbl>
            <c:txPr>
              <a:bodyPr rot="0" vert="horz" anchor="t" anchorCtr="0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outEnd"/>
            <c:showVal val="1"/>
            <c:showCatName val="1"/>
            <c:showLeaderLines val="1"/>
          </c:dLbls>
          <c:cat>
            <c:strRef>
              <c:f>Лист1!$A$2:$A$6</c:f>
              <c:strCache>
                <c:ptCount val="5"/>
                <c:pt idx="0">
                  <c:v>Кваліфіковані робітники з інструментом</c:v>
                </c:pt>
                <c:pt idx="1">
                  <c:v>Спеціалісти</c:v>
                </c:pt>
                <c:pt idx="2">
                  <c:v> Працівники сфери торгівлі та послуг</c:v>
                </c:pt>
                <c:pt idx="3">
                  <c:v>Робітники з обслуговування устаткування та машин</c:v>
                </c:pt>
                <c:pt idx="4">
                  <c:v>Робітники сільського, лісового господарств та риборозведення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</c:v>
                </c:pt>
                <c:pt idx="1">
                  <c:v>9.3000000000000007</c:v>
                </c:pt>
                <c:pt idx="2">
                  <c:v>32.200000000000003</c:v>
                </c:pt>
                <c:pt idx="3">
                  <c:v>11.1</c:v>
                </c:pt>
                <c:pt idx="4">
                  <c:v>2.4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uk-UA" sz="1400">
                <a:solidFill>
                  <a:srgbClr val="0066CC"/>
                </a:solidFill>
                <a:latin typeface="Times New Roman" pitchFamily="18" charset="0"/>
                <a:cs typeface="Times New Roman" pitchFamily="18" charset="0"/>
              </a:rPr>
              <a:t>Структура випускників ВНЗ (%)</a:t>
            </a:r>
          </a:p>
        </c:rich>
      </c:tx>
      <c:layout>
        <c:manualLayout>
          <c:xMode val="edge"/>
          <c:yMode val="edge"/>
          <c:x val="0.12227968509803112"/>
          <c:y val="1.8010052703352309E-2"/>
        </c:manualLayout>
      </c:layout>
    </c:title>
    <c:plotArea>
      <c:layout>
        <c:manualLayout>
          <c:layoutTarget val="inner"/>
          <c:xMode val="edge"/>
          <c:yMode val="edge"/>
          <c:x val="0.18315303337844271"/>
          <c:y val="0.28029469727886014"/>
          <c:w val="0.61546391373228126"/>
          <c:h val="0.6315624677774638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 w="22225">
              <a:solidFill>
                <a:prstClr val="white"/>
              </a:solidFill>
            </a:ln>
          </c:spPr>
          <c:dPt>
            <c:idx val="0"/>
            <c:spPr>
              <a:solidFill>
                <a:srgbClr val="CC3399"/>
              </a:solidFill>
              <a:ln w="22225">
                <a:solidFill>
                  <a:prstClr val="white"/>
                </a:solidFill>
              </a:ln>
            </c:spPr>
          </c:dPt>
          <c:dPt>
            <c:idx val="1"/>
            <c:explosion val="1"/>
            <c:spPr>
              <a:solidFill>
                <a:srgbClr val="0066CC"/>
              </a:solidFill>
              <a:ln w="15875">
                <a:solidFill>
                  <a:prstClr val="white"/>
                </a:solidFill>
              </a:ln>
            </c:spPr>
          </c:dPt>
          <c:dPt>
            <c:idx val="2"/>
            <c:spPr>
              <a:solidFill>
                <a:srgbClr val="33CC33"/>
              </a:solidFill>
              <a:ln w="22225">
                <a:solidFill>
                  <a:prstClr val="white"/>
                </a:solidFill>
              </a:ln>
            </c:spPr>
          </c:dPt>
          <c:dPt>
            <c:idx val="3"/>
            <c:spPr>
              <a:solidFill>
                <a:srgbClr val="990099"/>
              </a:solidFill>
              <a:ln w="22225">
                <a:solidFill>
                  <a:prstClr val="white"/>
                </a:solidFill>
              </a:ln>
            </c:spPr>
          </c:dPt>
          <c:dPt>
            <c:idx val="4"/>
            <c:spPr>
              <a:solidFill>
                <a:srgbClr val="FF6600"/>
              </a:solidFill>
              <a:ln w="22225">
                <a:solidFill>
                  <a:prstClr val="white"/>
                </a:solidFill>
              </a:ln>
            </c:spPr>
          </c:dPt>
          <c:dPt>
            <c:idx val="5"/>
            <c:spPr>
              <a:solidFill>
                <a:srgbClr val="00B0F0"/>
              </a:solidFill>
              <a:ln w="22225">
                <a:solidFill>
                  <a:prstClr val="white"/>
                </a:solidFill>
              </a:ln>
            </c:spPr>
          </c:dPt>
          <c:dPt>
            <c:idx val="6"/>
            <c:spPr>
              <a:solidFill>
                <a:srgbClr val="FF66FF"/>
              </a:solidFill>
              <a:ln w="22225">
                <a:solidFill>
                  <a:prstClr val="white"/>
                </a:solidFill>
              </a:ln>
            </c:spPr>
          </c:dPt>
          <c:dPt>
            <c:idx val="7"/>
            <c:spPr>
              <a:solidFill>
                <a:srgbClr val="009900"/>
              </a:solidFill>
              <a:ln w="22225">
                <a:solidFill>
                  <a:prstClr val="white"/>
                </a:solidFill>
              </a:ln>
            </c:spPr>
          </c:dPt>
          <c:dPt>
            <c:idx val="8"/>
            <c:spPr>
              <a:solidFill>
                <a:srgbClr val="FF0000"/>
              </a:solidFill>
              <a:ln w="22225">
                <a:solidFill>
                  <a:prstClr val="white"/>
                </a:solidFill>
              </a:ln>
            </c:spPr>
          </c:dPt>
          <c:dPt>
            <c:idx val="9"/>
            <c:spPr>
              <a:solidFill>
                <a:srgbClr val="0033CC"/>
              </a:solidFill>
              <a:ln w="22225">
                <a:solidFill>
                  <a:prstClr val="white"/>
                </a:solidFill>
              </a:ln>
            </c:spPr>
          </c:dPt>
          <c:dPt>
            <c:idx val="10"/>
            <c:spPr>
              <a:solidFill>
                <a:srgbClr val="006600"/>
              </a:solidFill>
              <a:ln w="22225">
                <a:solidFill>
                  <a:prstClr val="white"/>
                </a:solidFill>
              </a:ln>
            </c:spPr>
          </c:dPt>
          <c:dPt>
            <c:idx val="12"/>
            <c:spPr>
              <a:solidFill>
                <a:schemeClr val="accent4">
                  <a:lumMod val="75000"/>
                </a:schemeClr>
              </a:solidFill>
              <a:ln w="22225">
                <a:noFill/>
              </a:ln>
            </c:spPr>
          </c:dPt>
          <c:dPt>
            <c:idx val="13"/>
            <c:spPr>
              <a:solidFill>
                <a:srgbClr val="CC3300"/>
              </a:solidFill>
              <a:ln w="22225">
                <a:solidFill>
                  <a:prstClr val="white"/>
                </a:solidFill>
              </a:ln>
            </c:spPr>
          </c:dPt>
          <c:dLbls>
            <c:dLbl>
              <c:idx val="0"/>
              <c:layout>
                <c:manualLayout>
                  <c:x val="-2.7444805399742752E-2"/>
                  <c:y val="-1.7186317750820176E-2"/>
                </c:manualLayout>
              </c:layout>
              <c:tx>
                <c:rich>
                  <a:bodyPr/>
                  <a:lstStyle/>
                  <a:p>
                    <a:r>
                      <a:rPr lang="uk-UA" sz="700" b="1">
                        <a:latin typeface="Times New Roman" pitchFamily="18" charset="0"/>
                        <a:cs typeface="Times New Roman" pitchFamily="18" charset="0"/>
                      </a:rPr>
                      <a:t>Управління та адміністру-вання</a:t>
                    </a:r>
                  </a:p>
                  <a:p>
                    <a:r>
                      <a:rPr lang="uk-UA" sz="1200" b="1" baseline="0">
                        <a:solidFill>
                          <a:srgbClr val="D60093"/>
                        </a:solidFill>
                        <a:latin typeface="Arial Narrow" pitchFamily="34" charset="0"/>
                      </a:rPr>
                      <a:t>9,0</a:t>
                    </a:r>
                    <a:r>
                      <a:rPr lang="uk-UA" sz="1200" b="1">
                        <a:solidFill>
                          <a:srgbClr val="D60093"/>
                        </a:solidFill>
                        <a:latin typeface="Arial Narrow" pitchFamily="34" charset="0"/>
                      </a:rPr>
                      <a:t>%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1.7973856671655002E-2"/>
                  <c:y val="-0.15648030486326145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Соціальні науки, бізнес   і право</a:t>
                    </a:r>
                    <a:r>
                      <a:rPr lang="uk-UA" baseline="0"/>
                      <a:t> </a:t>
                    </a:r>
                  </a:p>
                  <a:p>
                    <a:r>
                      <a:rPr lang="uk-UA" sz="1200">
                        <a:solidFill>
                          <a:srgbClr val="0070C0"/>
                        </a:solidFill>
                        <a:latin typeface="Arial Narrow" pitchFamily="34" charset="0"/>
                      </a:rPr>
                      <a:t>23,4%</a:t>
                    </a: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0.21063293733294591"/>
                  <c:y val="-0.1130346761626615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Гуманітарні науки та мистецтво</a:t>
                    </a:r>
                    <a:r>
                      <a:rPr lang="uk-UA" baseline="0"/>
                      <a:t> </a:t>
                    </a:r>
                  </a:p>
                  <a:p>
                    <a:r>
                      <a:rPr lang="uk-UA" sz="1200">
                        <a:solidFill>
                          <a:srgbClr val="00CC00"/>
                        </a:solidFill>
                        <a:latin typeface="Arial Narrow" pitchFamily="34" charset="0"/>
                      </a:rPr>
                      <a:t>6,7%</a:t>
                    </a:r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0.19306497846392306"/>
                  <c:y val="-3.6887989764309284E-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Освіта</a:t>
                    </a:r>
                    <a:r>
                      <a:rPr lang="uk-UA" baseline="0"/>
                      <a:t> </a:t>
                    </a:r>
                  </a:p>
                  <a:p>
                    <a:r>
                      <a:rPr lang="uk-UA" sz="1200">
                        <a:solidFill>
                          <a:srgbClr val="990099"/>
                        </a:solidFill>
                        <a:latin typeface="Arial Narrow" pitchFamily="34" charset="0"/>
                      </a:rPr>
                      <a:t>8,8%</a:t>
                    </a:r>
                  </a:p>
                </c:rich>
              </c:tx>
              <c:showVal val="1"/>
              <c:showCatName val="1"/>
            </c:dLbl>
            <c:dLbl>
              <c:idx val="4"/>
              <c:layout>
                <c:manualLayout>
                  <c:x val="-0.16853505142645941"/>
                  <c:y val="-1.4755195905723592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Транспорт</a:t>
                    </a:r>
                    <a:r>
                      <a:rPr lang="uk-UA" baseline="0"/>
                      <a:t> </a:t>
                    </a:r>
                  </a:p>
                  <a:p>
                    <a:r>
                      <a:rPr lang="uk-UA" sz="1200">
                        <a:solidFill>
                          <a:srgbClr val="FF6600"/>
                        </a:solidFill>
                        <a:latin typeface="Arial Narrow" pitchFamily="34" charset="0"/>
                      </a:rPr>
                      <a:t>3,7%</a:t>
                    </a:r>
                  </a:p>
                </c:rich>
              </c:tx>
              <c:showVal val="1"/>
              <c:showCatName val="1"/>
            </c:dLbl>
            <c:dLbl>
              <c:idx val="5"/>
              <c:layout>
                <c:manualLayout>
                  <c:x val="-0.21905404299969244"/>
                  <c:y val="-4.082512914427128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Охорона </a:t>
                    </a:r>
                    <a:r>
                      <a:rPr lang="uk-UA" sz="700" i="0"/>
                      <a:t>здоров’я</a:t>
                    </a:r>
                    <a:r>
                      <a:rPr lang="uk-UA" i="1" baseline="0"/>
                      <a:t> </a:t>
                    </a:r>
                  </a:p>
                  <a:p>
                    <a:r>
                      <a:rPr lang="uk-UA" sz="1200" i="0">
                        <a:solidFill>
                          <a:srgbClr val="00CCFF"/>
                        </a:solidFill>
                        <a:latin typeface="Arial Narrow" pitchFamily="34" charset="0"/>
                      </a:rPr>
                      <a:t>8,7%</a:t>
                    </a:r>
                  </a:p>
                </c:rich>
              </c:tx>
              <c:showVal val="1"/>
              <c:showCatName val="1"/>
            </c:dLbl>
            <c:dLbl>
              <c:idx val="6"/>
              <c:layout>
                <c:manualLayout>
                  <c:x val="-3.133565002664964E-2"/>
                  <c:y val="-5.442082225362391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Інженерія</a:t>
                    </a:r>
                    <a:r>
                      <a:rPr lang="uk-UA" baseline="0"/>
                      <a:t> </a:t>
                    </a:r>
                  </a:p>
                  <a:p>
                    <a:r>
                      <a:rPr lang="uk-UA" sz="1200">
                        <a:solidFill>
                          <a:srgbClr val="FF66FF"/>
                        </a:solidFill>
                        <a:latin typeface="Arial Narrow" pitchFamily="34" charset="0"/>
                      </a:rPr>
                      <a:t>19,1%</a:t>
                    </a:r>
                  </a:p>
                </c:rich>
              </c:tx>
              <c:showVal val="1"/>
              <c:showCatName val="1"/>
            </c:dLbl>
            <c:dLbl>
              <c:idx val="7"/>
              <c:layout>
                <c:manualLayout>
                  <c:x val="-6.1105451626407577E-2"/>
                  <c:y val="-2.4663542321706842E-2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Виробництво та технології </a:t>
                    </a:r>
                    <a:r>
                      <a:rPr lang="uk-UA" sz="1200">
                        <a:solidFill>
                          <a:srgbClr val="009900"/>
                        </a:solidFill>
                        <a:latin typeface="Arial Narrow" pitchFamily="34" charset="0"/>
                      </a:rPr>
                      <a:t>2%</a:t>
                    </a:r>
                  </a:p>
                </c:rich>
              </c:tx>
              <c:showVal val="1"/>
              <c:showCatName val="1"/>
            </c:dLbl>
            <c:dLbl>
              <c:idx val="8"/>
              <c:layout>
                <c:manualLayout>
                  <c:x val="-4.7614869219671382E-2"/>
                  <c:y val="-0.12324742110835339"/>
                </c:manualLayout>
              </c:layout>
              <c:tx>
                <c:rich>
                  <a:bodyPr/>
                  <a:lstStyle/>
                  <a:p>
                    <a:r>
                      <a:rPr lang="uk-UA" sz="700"/>
                      <a:t>Природничі науки</a:t>
                    </a:r>
                  </a:p>
                  <a:p>
                    <a:r>
                      <a:rPr lang="uk-UA" sz="1200">
                        <a:solidFill>
                          <a:srgbClr val="FF0000"/>
                        </a:solidFill>
                        <a:latin typeface="Arial Narrow" pitchFamily="34" charset="0"/>
                      </a:rPr>
                      <a:t>2,6%</a:t>
                    </a:r>
                  </a:p>
                </c:rich>
              </c:tx>
              <c:showVal val="1"/>
              <c:showCatName val="1"/>
            </c:dLbl>
            <c:dLbl>
              <c:idx val="9"/>
              <c:layout>
                <c:manualLayout>
                  <c:x val="9.0555403493269168E-2"/>
                  <c:y val="-0.1158370015582997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uk-UA" sz="700" b="1">
                        <a:latin typeface="Times New Roman" pitchFamily="18" charset="0"/>
                        <a:cs typeface="Times New Roman" pitchFamily="18" charset="0"/>
                      </a:rPr>
                      <a:t>Будівництво та архітектура</a:t>
                    </a:r>
                  </a:p>
                  <a:p>
                    <a:pPr>
                      <a:defRPr/>
                    </a:pPr>
                    <a:r>
                      <a:rPr lang="uk-UA" sz="1200" b="1">
                        <a:solidFill>
                          <a:srgbClr val="0000CC"/>
                        </a:solidFill>
                        <a:latin typeface="Arial Narrow" pitchFamily="34" charset="0"/>
                      </a:rPr>
                      <a:t>5,5%</a:t>
                    </a:r>
                  </a:p>
                </c:rich>
              </c:tx>
              <c:spPr/>
              <c:showVal val="1"/>
              <c:showCatName val="1"/>
            </c:dLbl>
            <c:dLbl>
              <c:idx val="10"/>
              <c:layout>
                <c:manualLayout>
                  <c:x val="0.10098675057863085"/>
                  <c:y val="-8.4334948756192227E-2"/>
                </c:manualLayout>
              </c:layout>
              <c:tx>
                <c:rich>
                  <a:bodyPr/>
                  <a:lstStyle/>
                  <a:p>
                    <a:r>
                      <a:rPr lang="uk-UA" sz="700" b="1">
                        <a:latin typeface="Times New Roman" pitchFamily="18" charset="0"/>
                        <a:cs typeface="Times New Roman" pitchFamily="18" charset="0"/>
                      </a:rPr>
                      <a:t>Інші</a:t>
                    </a:r>
                  </a:p>
                  <a:p>
                    <a:r>
                      <a:rPr lang="uk-UA" sz="1200" baseline="0">
                        <a:solidFill>
                          <a:srgbClr val="008000"/>
                        </a:solidFill>
                        <a:latin typeface="Arial Narrow" pitchFamily="34" charset="0"/>
                      </a:rPr>
                      <a:t>10,5</a:t>
                    </a:r>
                    <a:r>
                      <a:rPr lang="uk-UA" sz="1200" b="1">
                        <a:solidFill>
                          <a:srgbClr val="008000"/>
                        </a:solidFill>
                        <a:latin typeface="Arial Narrow" pitchFamily="34" charset="0"/>
                      </a:rPr>
                      <a:t>%</a:t>
                    </a:r>
                  </a:p>
                </c:rich>
              </c:tx>
              <c:showVal val="1"/>
              <c:showCatName val="1"/>
            </c:dLbl>
            <c:dLbl>
              <c:idx val="11"/>
              <c:layout>
                <c:manualLayout>
                  <c:x val="0.23348804059204581"/>
                  <c:y val="-2.8488565449314652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 </a:t>
                    </a:r>
                  </a:p>
                  <a:p>
                    <a:r>
                      <a:rPr lang="uk-UA" sz="1200">
                        <a:solidFill>
                          <a:schemeClr val="accent6"/>
                        </a:solidFill>
                        <a:latin typeface="Arial Narrow" pitchFamily="34" charset="0"/>
                      </a:rPr>
                      <a:t>10%</a:t>
                    </a:r>
                  </a:p>
                </c:rich>
              </c:tx>
              <c:showVal val="1"/>
              <c:showCatName val="1"/>
            </c:dLbl>
            <c:dLbl>
              <c:idx val="12"/>
              <c:layout>
                <c:manualLayout>
                  <c:x val="0.35563929844941355"/>
                  <c:y val="-0.1174047980216644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Природничі науки  </a:t>
                    </a:r>
                  </a:p>
                  <a:p>
                    <a:r>
                      <a:rPr lang="uk-UA" sz="1200">
                        <a:solidFill>
                          <a:schemeClr val="accent4">
                            <a:lumMod val="75000"/>
                          </a:schemeClr>
                        </a:solidFill>
                        <a:latin typeface="Arial Narrow" pitchFamily="34" charset="0"/>
                      </a:rPr>
                      <a:t>1,7%</a:t>
                    </a:r>
                  </a:p>
                </c:rich>
              </c:tx>
              <c:showVal val="1"/>
              <c:showCatName val="1"/>
            </c:dLbl>
            <c:dLbl>
              <c:idx val="13"/>
              <c:layout>
                <c:manualLayout>
                  <c:x val="0.36825029425464373"/>
                  <c:y val="-6.2959250025695024E-2"/>
                </c:manualLayout>
              </c:layout>
              <c:tx>
                <c:rich>
                  <a:bodyPr/>
                  <a:lstStyle/>
                  <a:p>
                    <a:pPr>
                      <a:defRPr sz="7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uk-UA"/>
                      <a:t>Інші </a:t>
                    </a:r>
                  </a:p>
                  <a:p>
                    <a:pPr>
                      <a:defRPr sz="7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uk-UA" sz="1200">
                        <a:solidFill>
                          <a:srgbClr val="CC3300"/>
                        </a:solidFill>
                        <a:latin typeface="Arial Narrow" pitchFamily="34" charset="0"/>
                      </a:rPr>
                      <a:t>8,9%</a:t>
                    </a:r>
                  </a:p>
                </c:rich>
              </c:tx>
              <c:spPr>
                <a:solidFill>
                  <a:schemeClr val="bg1"/>
                </a:solidFill>
              </c:spPr>
              <c:showVal val="1"/>
              <c:showCatName val="1"/>
            </c:dLbl>
            <c:txPr>
              <a:bodyPr/>
              <a:lstStyle/>
              <a:p>
                <a:pPr>
                  <a:defRPr sz="7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showCatName val="1"/>
            <c:showLeaderLines val="1"/>
          </c:dLbls>
          <c:cat>
            <c:strRef>
              <c:f>Лист1!$A$2:$A$12</c:f>
              <c:strCache>
                <c:ptCount val="11"/>
                <c:pt idx="0">
                  <c:v>Управління та адміністрування</c:v>
                </c:pt>
                <c:pt idx="1">
                  <c:v>Соціальні науки, бізнес і право</c:v>
                </c:pt>
                <c:pt idx="2">
                  <c:v>Гуманітарні науки та мистецтво</c:v>
                </c:pt>
                <c:pt idx="3">
                  <c:v>Освіта</c:v>
                </c:pt>
                <c:pt idx="4">
                  <c:v>Транспорт</c:v>
                </c:pt>
                <c:pt idx="5">
                  <c:v>Охорона здоров’я</c:v>
                </c:pt>
                <c:pt idx="6">
                  <c:v>Інженерія</c:v>
                </c:pt>
                <c:pt idx="7">
                  <c:v>Виробництво та технології</c:v>
                </c:pt>
                <c:pt idx="8">
                  <c:v>Природничі науки</c:v>
                </c:pt>
                <c:pt idx="9">
                  <c:v>Будівництво та архітектура</c:v>
                </c:pt>
                <c:pt idx="10">
                  <c:v>Інші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</c:v>
                </c:pt>
                <c:pt idx="1">
                  <c:v>23.4</c:v>
                </c:pt>
                <c:pt idx="2">
                  <c:v>6.7</c:v>
                </c:pt>
                <c:pt idx="3">
                  <c:v>8.8000000000000007</c:v>
                </c:pt>
                <c:pt idx="4">
                  <c:v>3.7</c:v>
                </c:pt>
                <c:pt idx="5">
                  <c:v>8.7000000000000011</c:v>
                </c:pt>
                <c:pt idx="6">
                  <c:v>19.100000000000001</c:v>
                </c:pt>
                <c:pt idx="7">
                  <c:v>2</c:v>
                </c:pt>
                <c:pt idx="8">
                  <c:v>2.6</c:v>
                </c:pt>
                <c:pt idx="9">
                  <c:v>5.5</c:v>
                </c:pt>
                <c:pt idx="10">
                  <c:v>10.5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1764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penar.aa</dc:creator>
  <cp:lastModifiedBy>penar.aa</cp:lastModifiedBy>
  <cp:revision>19</cp:revision>
  <cp:lastPrinted>2018-11-23T07:38:00Z</cp:lastPrinted>
  <dcterms:created xsi:type="dcterms:W3CDTF">2021-01-16T07:41:00Z</dcterms:created>
  <dcterms:modified xsi:type="dcterms:W3CDTF">2021-01-16T12:53:00Z</dcterms:modified>
</cp:coreProperties>
</file>